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EC" w:rsidRDefault="000717EC" w:rsidP="00DE28B8">
      <w:pPr>
        <w:tabs>
          <w:tab w:val="num" w:pos="720"/>
        </w:tabs>
        <w:ind w:left="720" w:hanging="360"/>
        <w:rPr>
          <w:rFonts w:cs="Arial"/>
          <w:b/>
          <w:bCs/>
          <w:color w:val="C00000"/>
        </w:rPr>
      </w:pPr>
      <w:bookmarkStart w:id="0" w:name="_Hlk44861814"/>
      <w:bookmarkEnd w:id="0"/>
    </w:p>
    <w:p w:rsidR="008A576B" w:rsidRDefault="008A576B" w:rsidP="00DE28B8">
      <w:pPr>
        <w:tabs>
          <w:tab w:val="num" w:pos="720"/>
        </w:tabs>
        <w:ind w:left="720" w:hanging="360"/>
        <w:rPr>
          <w:rFonts w:cs="Arial"/>
          <w:b/>
          <w:bCs/>
          <w:color w:val="C00000"/>
        </w:rPr>
      </w:pPr>
    </w:p>
    <w:p w:rsidR="008A576B" w:rsidRPr="008C22A8" w:rsidRDefault="008A576B"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Default="000717EC"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Default="00A663D5" w:rsidP="00DE28B8">
      <w:pPr>
        <w:tabs>
          <w:tab w:val="num" w:pos="720"/>
        </w:tabs>
        <w:ind w:left="720" w:hanging="360"/>
        <w:rPr>
          <w:rFonts w:cs="Arial"/>
          <w:b/>
          <w:bCs/>
          <w:color w:val="C00000"/>
        </w:rPr>
      </w:pPr>
    </w:p>
    <w:p w:rsidR="00A663D5" w:rsidRPr="008C22A8" w:rsidRDefault="00A663D5" w:rsidP="00DE28B8">
      <w:pPr>
        <w:tabs>
          <w:tab w:val="num" w:pos="720"/>
        </w:tabs>
        <w:ind w:left="720" w:hanging="360"/>
        <w:rPr>
          <w:rFonts w:cs="Arial"/>
          <w:b/>
          <w:bCs/>
          <w:color w:val="C00000"/>
        </w:rPr>
      </w:pPr>
    </w:p>
    <w:p w:rsidR="000717EC" w:rsidRPr="008C22A8" w:rsidRDefault="000717EC" w:rsidP="00DE28B8">
      <w:pPr>
        <w:tabs>
          <w:tab w:val="num" w:pos="720"/>
        </w:tabs>
        <w:ind w:left="720" w:hanging="360"/>
        <w:rPr>
          <w:rFonts w:cs="Arial"/>
          <w:b/>
          <w:bCs/>
          <w:color w:val="C00000"/>
        </w:rPr>
      </w:pPr>
    </w:p>
    <w:p w:rsidR="000717EC" w:rsidRPr="000260CD" w:rsidRDefault="00DA06C9" w:rsidP="00DE28B8">
      <w:pPr>
        <w:tabs>
          <w:tab w:val="num" w:pos="720"/>
        </w:tabs>
        <w:ind w:left="720" w:hanging="360"/>
        <w:rPr>
          <w:rFonts w:cs="Arial"/>
          <w:b/>
          <w:bCs/>
          <w:color w:val="2F5496" w:themeColor="accent1" w:themeShade="BF"/>
          <w:sz w:val="44"/>
          <w:szCs w:val="44"/>
        </w:rPr>
      </w:pPr>
      <w:r w:rsidRPr="000260CD">
        <w:rPr>
          <w:rFonts w:cs="Arial"/>
          <w:b/>
          <w:bCs/>
          <w:color w:val="2F5496" w:themeColor="accent1" w:themeShade="BF"/>
          <w:sz w:val="44"/>
          <w:szCs w:val="44"/>
        </w:rPr>
        <w:t xml:space="preserve">STRATEGIJA ZAPOŠLJAVANJA </w:t>
      </w:r>
    </w:p>
    <w:p w:rsidR="00DA06C9" w:rsidRDefault="00283ACC" w:rsidP="00DE28B8">
      <w:pPr>
        <w:tabs>
          <w:tab w:val="num" w:pos="720"/>
        </w:tabs>
        <w:ind w:left="720" w:hanging="360"/>
        <w:rPr>
          <w:rFonts w:cs="Arial"/>
          <w:b/>
          <w:bCs/>
          <w:color w:val="2F5496" w:themeColor="accent1" w:themeShade="BF"/>
          <w:sz w:val="44"/>
          <w:szCs w:val="44"/>
        </w:rPr>
      </w:pPr>
      <w:r>
        <w:rPr>
          <w:rFonts w:cs="Arial"/>
          <w:b/>
          <w:bCs/>
          <w:color w:val="2F5496" w:themeColor="accent1" w:themeShade="BF"/>
          <w:sz w:val="44"/>
          <w:szCs w:val="44"/>
        </w:rPr>
        <w:t>GLAVNOG GRADA PODGORICA</w:t>
      </w:r>
      <w:r w:rsidR="00EF77D6">
        <w:rPr>
          <w:rFonts w:cs="Arial"/>
          <w:b/>
          <w:bCs/>
          <w:color w:val="2F5496" w:themeColor="accent1" w:themeShade="BF"/>
          <w:sz w:val="44"/>
          <w:szCs w:val="44"/>
        </w:rPr>
        <w:t xml:space="preserve"> </w:t>
      </w:r>
      <w:r w:rsidR="00316B12">
        <w:rPr>
          <w:rFonts w:cs="Arial"/>
          <w:b/>
          <w:bCs/>
          <w:color w:val="2F5496" w:themeColor="accent1" w:themeShade="BF"/>
          <w:sz w:val="44"/>
          <w:szCs w:val="44"/>
        </w:rPr>
        <w:t>2021-20</w:t>
      </w:r>
      <w:r w:rsidR="0086472B">
        <w:rPr>
          <w:rFonts w:cs="Arial"/>
          <w:b/>
          <w:bCs/>
          <w:color w:val="2F5496" w:themeColor="accent1" w:themeShade="BF"/>
          <w:sz w:val="44"/>
          <w:szCs w:val="44"/>
        </w:rPr>
        <w:t>25</w:t>
      </w:r>
      <w:r w:rsidR="002F37F0">
        <w:rPr>
          <w:rFonts w:cs="Arial"/>
          <w:b/>
          <w:bCs/>
          <w:color w:val="2F5496" w:themeColor="accent1" w:themeShade="BF"/>
          <w:sz w:val="44"/>
          <w:szCs w:val="44"/>
        </w:rPr>
        <w:t>.</w:t>
      </w: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BC44E5" w:rsidRDefault="00BC44E5"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D6234A" w:rsidRDefault="00D6234A" w:rsidP="00DE28B8">
      <w:pPr>
        <w:ind w:left="360"/>
        <w:rPr>
          <w:rFonts w:cs="Arial"/>
          <w:sz w:val="36"/>
          <w:szCs w:val="36"/>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15351C" w:rsidRDefault="0015351C" w:rsidP="00DE28B8">
      <w:pPr>
        <w:ind w:left="360"/>
        <w:rPr>
          <w:rFonts w:cs="Arial"/>
          <w:i/>
          <w:iCs/>
          <w:sz w:val="22"/>
          <w:szCs w:val="22"/>
        </w:rPr>
      </w:pPr>
    </w:p>
    <w:p w:rsidR="00BC44E5" w:rsidRPr="004B10BD" w:rsidRDefault="00BC44E5" w:rsidP="00DE28B8">
      <w:pPr>
        <w:ind w:left="360"/>
        <w:rPr>
          <w:rFonts w:cs="Arial"/>
          <w:i/>
          <w:iCs/>
          <w:sz w:val="22"/>
          <w:szCs w:val="22"/>
        </w:rPr>
      </w:pPr>
      <w:r w:rsidRPr="000C757C">
        <w:rPr>
          <w:rFonts w:cs="Arial"/>
          <w:i/>
          <w:iCs/>
          <w:sz w:val="22"/>
          <w:szCs w:val="22"/>
        </w:rPr>
        <w:t xml:space="preserve">Nacrt Strategije zapošljavanja </w:t>
      </w:r>
      <w:r w:rsidR="00283ACC">
        <w:rPr>
          <w:rFonts w:cs="Arial"/>
          <w:i/>
          <w:iCs/>
          <w:sz w:val="22"/>
          <w:szCs w:val="22"/>
        </w:rPr>
        <w:t>Glavnog grada Podgorica</w:t>
      </w:r>
      <w:r w:rsidR="002D2277">
        <w:rPr>
          <w:rFonts w:cs="Arial"/>
          <w:i/>
          <w:iCs/>
          <w:sz w:val="22"/>
          <w:szCs w:val="22"/>
        </w:rPr>
        <w:t xml:space="preserve"> </w:t>
      </w:r>
      <w:r w:rsidRPr="000C757C">
        <w:rPr>
          <w:rFonts w:cs="Arial"/>
          <w:i/>
          <w:iCs/>
          <w:sz w:val="22"/>
          <w:szCs w:val="22"/>
        </w:rPr>
        <w:t xml:space="preserve">je pripremila Partnerska grupa za zapošljavanje, imenovana od strane </w:t>
      </w:r>
      <w:r w:rsidR="00701201">
        <w:rPr>
          <w:rFonts w:cs="Arial"/>
          <w:i/>
          <w:iCs/>
          <w:sz w:val="22"/>
          <w:szCs w:val="22"/>
        </w:rPr>
        <w:t>gradonačelnika</w:t>
      </w:r>
      <w:r w:rsidRPr="000C757C">
        <w:rPr>
          <w:rFonts w:cs="Arial"/>
          <w:i/>
          <w:iCs/>
          <w:sz w:val="22"/>
          <w:szCs w:val="22"/>
        </w:rPr>
        <w:t xml:space="preserve"> uz tehničku pomoć p</w:t>
      </w:r>
      <w:r w:rsidRPr="000C757C">
        <w:rPr>
          <w:rFonts w:cs="Times-Roman"/>
          <w:i/>
          <w:iCs/>
          <w:sz w:val="22"/>
          <w:szCs w:val="22"/>
          <w:lang w:val="bs-Latn-BA" w:eastAsia="tr-TR"/>
        </w:rPr>
        <w:t xml:space="preserve">rojekta </w:t>
      </w:r>
      <w:r w:rsidRPr="004B10BD">
        <w:rPr>
          <w:rFonts w:cs="Times-Roman"/>
          <w:i/>
          <w:iCs/>
          <w:sz w:val="22"/>
          <w:szCs w:val="22"/>
          <w:lang w:val="bs-Latn-BA" w:eastAsia="tr-TR"/>
        </w:rPr>
        <w:t>„Dalji razvoj lokalnih inicijativa za zapošljavanje u Crnoj Gori“, koji se finansira iz EU-IPA sredstava u okviru Sektorskog operativnog programa za zapošljavanje, obrazovanje i socijaln</w:t>
      </w:r>
      <w:r w:rsidR="00E9588D">
        <w:rPr>
          <w:rFonts w:cs="Times-Roman"/>
          <w:i/>
          <w:iCs/>
          <w:sz w:val="22"/>
          <w:szCs w:val="22"/>
          <w:lang w:val="bs-Latn-BA" w:eastAsia="tr-TR"/>
        </w:rPr>
        <w:t>u</w:t>
      </w:r>
      <w:r w:rsidRPr="004B10BD">
        <w:rPr>
          <w:rFonts w:cs="Times-Roman"/>
          <w:i/>
          <w:iCs/>
          <w:sz w:val="22"/>
          <w:szCs w:val="22"/>
          <w:lang w:val="bs-Latn-BA" w:eastAsia="tr-TR"/>
        </w:rPr>
        <w:t xml:space="preserve"> politik</w:t>
      </w:r>
      <w:r w:rsidR="00E9588D">
        <w:rPr>
          <w:rFonts w:cs="Times-Roman"/>
          <w:i/>
          <w:iCs/>
          <w:sz w:val="22"/>
          <w:szCs w:val="22"/>
          <w:lang w:val="bs-Latn-BA" w:eastAsia="tr-TR"/>
        </w:rPr>
        <w:t>u</w:t>
      </w:r>
      <w:r w:rsidRPr="004B10BD">
        <w:rPr>
          <w:rFonts w:cs="Times-Roman"/>
          <w:i/>
          <w:iCs/>
          <w:sz w:val="22"/>
          <w:szCs w:val="22"/>
          <w:lang w:val="bs-Latn-BA" w:eastAsia="tr-TR"/>
        </w:rPr>
        <w:t xml:space="preserve"> 2015-2017 (SOPEES).</w:t>
      </w:r>
      <w:r w:rsidRPr="004B10BD">
        <w:rPr>
          <w:rFonts w:cs="Arial"/>
          <w:i/>
          <w:iCs/>
          <w:sz w:val="22"/>
          <w:szCs w:val="22"/>
        </w:rPr>
        <w:t xml:space="preserve"> </w:t>
      </w:r>
    </w:p>
    <w:p w:rsidR="00BC44E5" w:rsidRDefault="00BC44E5" w:rsidP="00DE28B8">
      <w:pPr>
        <w:ind w:left="360"/>
        <w:rPr>
          <w:rFonts w:cs="Arial"/>
          <w:sz w:val="36"/>
          <w:szCs w:val="36"/>
        </w:rPr>
      </w:pPr>
    </w:p>
    <w:p w:rsidR="00EF77D6" w:rsidRPr="006B422E" w:rsidRDefault="006B422E" w:rsidP="006B422E">
      <w:pPr>
        <w:ind w:left="360"/>
        <w:rPr>
          <w:rFonts w:eastAsiaTheme="majorEastAsia" w:cstheme="majorBidi"/>
          <w:b/>
          <w:color w:val="2F5496" w:themeColor="accent1" w:themeShade="BF"/>
          <w:szCs w:val="20"/>
        </w:rPr>
      </w:pPr>
      <w:bookmarkStart w:id="1" w:name="_Hlk66885871"/>
      <w:bookmarkStart w:id="2" w:name="_Toc44874204"/>
      <w:bookmarkStart w:id="3" w:name="_Toc52644586"/>
      <w:bookmarkStart w:id="4" w:name="_Toc52644722"/>
      <w:bookmarkStart w:id="5" w:name="_Toc52951735"/>
      <w:bookmarkStart w:id="6" w:name="_Toc55636081"/>
      <w:r w:rsidRPr="0074238C">
        <w:rPr>
          <w:rFonts w:cs="Courier New"/>
          <w:i/>
          <w:iCs/>
          <w:sz w:val="22"/>
          <w:szCs w:val="22"/>
          <w:shd w:val="clear" w:color="auto" w:fill="FFFFFF"/>
        </w:rPr>
        <w:t>Svi pojmovi upotrijebljeni u ovom dokumentu u muškom gramatičkom rodu obuhvataju muški i ženski rod lica na koji se odnose</w:t>
      </w:r>
      <w:r w:rsidR="006A4215" w:rsidRPr="0074238C">
        <w:rPr>
          <w:rFonts w:cs="Courier New"/>
          <w:i/>
          <w:iCs/>
          <w:sz w:val="22"/>
          <w:szCs w:val="22"/>
          <w:shd w:val="clear" w:color="auto" w:fill="FFFFFF"/>
        </w:rPr>
        <w:t>.</w:t>
      </w:r>
      <w:r w:rsidRPr="0074238C">
        <w:rPr>
          <w:szCs w:val="20"/>
        </w:rPr>
        <w:t xml:space="preserve"> </w:t>
      </w:r>
      <w:bookmarkEnd w:id="1"/>
      <w:r w:rsidR="00EF77D6" w:rsidRPr="006B422E">
        <w:rPr>
          <w:szCs w:val="20"/>
        </w:rPr>
        <w:br w:type="page"/>
      </w:r>
    </w:p>
    <w:p w:rsidR="00DA06C9" w:rsidRDefault="00EA016B" w:rsidP="00DE28B8">
      <w:pPr>
        <w:pStyle w:val="Heading1"/>
        <w:numPr>
          <w:ilvl w:val="0"/>
          <w:numId w:val="0"/>
        </w:numPr>
        <w:spacing w:before="0"/>
        <w:ind w:left="66"/>
      </w:pPr>
      <w:bookmarkStart w:id="7" w:name="_Toc58581867"/>
      <w:bookmarkStart w:id="8" w:name="_Toc58865222"/>
      <w:bookmarkStart w:id="9" w:name="_Toc60052363"/>
      <w:bookmarkStart w:id="10" w:name="_Toc61211359"/>
      <w:bookmarkStart w:id="11" w:name="_Toc61289773"/>
      <w:bookmarkStart w:id="12" w:name="_Toc63099488"/>
      <w:r w:rsidRPr="004C0AF8">
        <w:lastRenderedPageBreak/>
        <w:t>SADRŽAJ</w:t>
      </w:r>
      <w:bookmarkEnd w:id="2"/>
      <w:bookmarkEnd w:id="3"/>
      <w:bookmarkEnd w:id="4"/>
      <w:bookmarkEnd w:id="5"/>
      <w:bookmarkEnd w:id="6"/>
      <w:bookmarkEnd w:id="7"/>
      <w:bookmarkEnd w:id="8"/>
      <w:bookmarkEnd w:id="9"/>
      <w:bookmarkEnd w:id="10"/>
      <w:bookmarkEnd w:id="11"/>
      <w:bookmarkEnd w:id="12"/>
    </w:p>
    <w:p w:rsidR="00E62759" w:rsidRPr="00E62759" w:rsidRDefault="00E62759" w:rsidP="00DE28B8"/>
    <w:p w:rsidR="00385224" w:rsidRPr="00385224" w:rsidRDefault="001E3C64" w:rsidP="00385224">
      <w:pPr>
        <w:pStyle w:val="TOC1"/>
        <w:rPr>
          <w:rFonts w:eastAsiaTheme="minorEastAsia" w:cstheme="minorBidi"/>
          <w:lang w:val="sl-SI" w:eastAsia="sl-SI"/>
        </w:rPr>
      </w:pPr>
      <w:r w:rsidRPr="001E3C64">
        <w:rPr>
          <w:rFonts w:cs="Arial"/>
        </w:rPr>
        <w:fldChar w:fldCharType="begin"/>
      </w:r>
      <w:r w:rsidR="00385224" w:rsidRPr="00385224">
        <w:rPr>
          <w:rFonts w:cs="Arial"/>
        </w:rPr>
        <w:instrText xml:space="preserve"> TOC \o "1-2" \h \z \u </w:instrText>
      </w:r>
      <w:r w:rsidRPr="001E3C64">
        <w:rPr>
          <w:rFonts w:cs="Arial"/>
        </w:rPr>
        <w:fldChar w:fldCharType="separate"/>
      </w:r>
    </w:p>
    <w:p w:rsidR="00385224" w:rsidRPr="00385224" w:rsidRDefault="001E3C64" w:rsidP="00385224">
      <w:pPr>
        <w:pStyle w:val="TOC1"/>
        <w:rPr>
          <w:rStyle w:val="Hyperlink"/>
          <w:color w:val="1F4E79" w:themeColor="accent5" w:themeShade="80"/>
        </w:rPr>
      </w:pPr>
      <w:hyperlink w:anchor="_Toc63099489" w:history="1">
        <w:r w:rsidR="00385224" w:rsidRPr="00385224">
          <w:rPr>
            <w:rStyle w:val="Hyperlink"/>
            <w:color w:val="1F4E79" w:themeColor="accent5" w:themeShade="80"/>
          </w:rPr>
          <w:t>1.</w:t>
        </w:r>
        <w:r w:rsidR="00385224" w:rsidRPr="00385224">
          <w:rPr>
            <w:rFonts w:eastAsiaTheme="minorEastAsia" w:cstheme="minorBidi"/>
            <w:lang w:val="sl-SI" w:eastAsia="sl-SI"/>
          </w:rPr>
          <w:tab/>
        </w:r>
        <w:r w:rsidR="00385224" w:rsidRPr="00385224">
          <w:rPr>
            <w:rStyle w:val="Hyperlink"/>
            <w:color w:val="1F4E79" w:themeColor="accent5" w:themeShade="80"/>
          </w:rPr>
          <w:t>UVOD</w:t>
        </w:r>
        <w:r w:rsidR="00385224" w:rsidRPr="00385224">
          <w:rPr>
            <w:webHidden/>
          </w:rPr>
          <w:tab/>
        </w:r>
        <w:r w:rsidRPr="00385224">
          <w:rPr>
            <w:webHidden/>
          </w:rPr>
          <w:fldChar w:fldCharType="begin"/>
        </w:r>
        <w:r w:rsidR="00385224" w:rsidRPr="00385224">
          <w:rPr>
            <w:webHidden/>
          </w:rPr>
          <w:instrText xml:space="preserve"> PAGEREF _Toc63099489 \h </w:instrText>
        </w:r>
        <w:r w:rsidRPr="00385224">
          <w:rPr>
            <w:webHidden/>
          </w:rPr>
        </w:r>
        <w:r w:rsidRPr="00385224">
          <w:rPr>
            <w:webHidden/>
          </w:rPr>
          <w:fldChar w:fldCharType="separate"/>
        </w:r>
        <w:r w:rsidR="00D16837">
          <w:rPr>
            <w:webHidden/>
          </w:rPr>
          <w:t>4</w:t>
        </w:r>
        <w:r w:rsidRPr="00385224">
          <w:rPr>
            <w:webHidden/>
          </w:rPr>
          <w:fldChar w:fldCharType="end"/>
        </w:r>
      </w:hyperlink>
    </w:p>
    <w:p w:rsidR="00385224" w:rsidRPr="00385224" w:rsidRDefault="00385224" w:rsidP="00385224">
      <w:pPr>
        <w:rPr>
          <w:noProof/>
          <w:lang w:val="hr-HR"/>
        </w:rPr>
      </w:pPr>
    </w:p>
    <w:p w:rsidR="00385224" w:rsidRPr="00385224" w:rsidRDefault="001E3C64" w:rsidP="00385224">
      <w:pPr>
        <w:pStyle w:val="TOC1"/>
        <w:rPr>
          <w:rFonts w:eastAsiaTheme="minorEastAsia" w:cstheme="minorBidi"/>
          <w:lang w:val="sl-SI" w:eastAsia="sl-SI"/>
        </w:rPr>
      </w:pPr>
      <w:hyperlink w:anchor="_Toc63099490" w:history="1">
        <w:r w:rsidR="00385224" w:rsidRPr="00385224">
          <w:rPr>
            <w:rStyle w:val="Hyperlink"/>
            <w:color w:val="023160" w:themeColor="hyperlink" w:themeShade="80"/>
          </w:rPr>
          <w:t>2.</w:t>
        </w:r>
        <w:r w:rsidR="00385224" w:rsidRPr="00385224">
          <w:rPr>
            <w:rFonts w:eastAsiaTheme="minorEastAsia" w:cstheme="minorBidi"/>
            <w:lang w:val="sl-SI" w:eastAsia="sl-SI"/>
          </w:rPr>
          <w:tab/>
        </w:r>
        <w:r w:rsidR="00385224" w:rsidRPr="00385224">
          <w:rPr>
            <w:rStyle w:val="Hyperlink"/>
            <w:color w:val="023160" w:themeColor="hyperlink" w:themeShade="80"/>
          </w:rPr>
          <w:t>SOCIO-EKONOMSKA SITUACIJA</w:t>
        </w:r>
        <w:r w:rsidR="00385224" w:rsidRPr="00385224">
          <w:rPr>
            <w:webHidden/>
          </w:rPr>
          <w:tab/>
        </w:r>
        <w:r w:rsidRPr="00385224">
          <w:rPr>
            <w:webHidden/>
          </w:rPr>
          <w:fldChar w:fldCharType="begin"/>
        </w:r>
        <w:r w:rsidR="00385224" w:rsidRPr="00385224">
          <w:rPr>
            <w:webHidden/>
          </w:rPr>
          <w:instrText xml:space="preserve"> PAGEREF _Toc63099490 \h </w:instrText>
        </w:r>
        <w:r w:rsidRPr="00385224">
          <w:rPr>
            <w:webHidden/>
          </w:rPr>
        </w:r>
        <w:r w:rsidRPr="00385224">
          <w:rPr>
            <w:webHidden/>
          </w:rPr>
          <w:fldChar w:fldCharType="separate"/>
        </w:r>
        <w:r w:rsidR="00D16837">
          <w:rPr>
            <w:webHidden/>
          </w:rPr>
          <w:t>6</w:t>
        </w:r>
        <w:r w:rsidRPr="00385224">
          <w:rPr>
            <w:webHidden/>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491" w:history="1">
        <w:r w:rsidR="00385224" w:rsidRPr="00385224">
          <w:rPr>
            <w:rStyle w:val="Hyperlink"/>
            <w:rFonts w:ascii="Cambria" w:hAnsi="Cambria" w:cs="Arial"/>
            <w:noProof/>
            <w:sz w:val="22"/>
            <w:szCs w:val="22"/>
            <w:lang w:val="bs-Latn-BA"/>
          </w:rPr>
          <w:t xml:space="preserve">2.1 </w:t>
        </w:r>
        <w:r w:rsidR="00385224" w:rsidRPr="00385224">
          <w:rPr>
            <w:rStyle w:val="Hyperlink"/>
            <w:rFonts w:ascii="Cambria" w:hAnsi="Cambria"/>
            <w:noProof/>
            <w:sz w:val="22"/>
            <w:szCs w:val="22"/>
            <w:lang w:val="bs-Latn-BA"/>
          </w:rPr>
          <w:t>Geografski položaj opštine</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_Toc63099491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6</w:t>
        </w:r>
        <w:r w:rsidRPr="00385224">
          <w:rPr>
            <w:rFonts w:ascii="Cambria" w:hAnsi="Cambria"/>
            <w:noProof/>
            <w:webHidden/>
            <w:sz w:val="22"/>
            <w:szCs w:val="22"/>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492" w:history="1">
        <w:r w:rsidR="00385224" w:rsidRPr="00385224">
          <w:rPr>
            <w:rStyle w:val="Hyperlink"/>
            <w:rFonts w:ascii="Cambria" w:hAnsi="Cambria" w:cs="Arial"/>
            <w:noProof/>
            <w:sz w:val="22"/>
            <w:szCs w:val="22"/>
            <w:lang w:val="bs-Latn-BA"/>
          </w:rPr>
          <w:t>2.2 Demografska slika</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_Toc63099492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6</w:t>
        </w:r>
        <w:r w:rsidRPr="00385224">
          <w:rPr>
            <w:rFonts w:ascii="Cambria" w:hAnsi="Cambria"/>
            <w:noProof/>
            <w:webHidden/>
            <w:sz w:val="22"/>
            <w:szCs w:val="22"/>
          </w:rPr>
          <w:fldChar w:fldCharType="end"/>
        </w:r>
      </w:hyperlink>
    </w:p>
    <w:p w:rsidR="00385224" w:rsidRDefault="001E3C64">
      <w:pPr>
        <w:pStyle w:val="TOC2"/>
        <w:tabs>
          <w:tab w:val="left" w:pos="800"/>
          <w:tab w:val="right" w:leader="dot" w:pos="9231"/>
        </w:tabs>
        <w:rPr>
          <w:rStyle w:val="Hyperlink"/>
          <w:rFonts w:ascii="Cambria" w:hAnsi="Cambria"/>
          <w:noProof/>
          <w:sz w:val="22"/>
          <w:szCs w:val="22"/>
        </w:rPr>
      </w:pPr>
      <w:hyperlink w:anchor="_Toc63099493" w:history="1">
        <w:r w:rsidR="00385224" w:rsidRPr="00385224">
          <w:rPr>
            <w:rStyle w:val="Hyperlink"/>
            <w:rFonts w:ascii="Cambria" w:hAnsi="Cambria" w:cs="Arial"/>
            <w:noProof/>
            <w:sz w:val="22"/>
            <w:szCs w:val="22"/>
            <w:lang w:val="bs-Latn-BA"/>
          </w:rPr>
          <w:t>2.3</w:t>
        </w:r>
        <w:r w:rsidR="00385224">
          <w:rPr>
            <w:rStyle w:val="Hyperlink"/>
            <w:rFonts w:ascii="Cambria" w:hAnsi="Cambria" w:cs="Arial"/>
            <w:noProof/>
            <w:sz w:val="22"/>
            <w:szCs w:val="22"/>
            <w:lang w:val="bs-Latn-BA"/>
          </w:rPr>
          <w:t xml:space="preserve"> </w:t>
        </w:r>
        <w:r w:rsidR="00385224" w:rsidRPr="00385224">
          <w:rPr>
            <w:rStyle w:val="Hyperlink"/>
            <w:rFonts w:ascii="Cambria" w:hAnsi="Cambria" w:cs="Arial"/>
            <w:noProof/>
            <w:sz w:val="22"/>
            <w:szCs w:val="22"/>
            <w:lang w:val="bs-Latn-BA"/>
          </w:rPr>
          <w:t>Ekonomija</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_Toc63099493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8</w:t>
        </w:r>
        <w:r w:rsidRPr="00385224">
          <w:rPr>
            <w:rFonts w:ascii="Cambria" w:hAnsi="Cambria"/>
            <w:noProof/>
            <w:webHidden/>
            <w:sz w:val="22"/>
            <w:szCs w:val="22"/>
          </w:rPr>
          <w:fldChar w:fldCharType="end"/>
        </w:r>
      </w:hyperlink>
    </w:p>
    <w:p w:rsidR="00385224" w:rsidRPr="00385224" w:rsidRDefault="00385224" w:rsidP="00385224">
      <w:pPr>
        <w:rPr>
          <w:noProof/>
        </w:rPr>
      </w:pPr>
    </w:p>
    <w:p w:rsidR="00385224" w:rsidRPr="00385224" w:rsidRDefault="001E3C64" w:rsidP="00385224">
      <w:pPr>
        <w:pStyle w:val="TOC1"/>
        <w:rPr>
          <w:rFonts w:eastAsiaTheme="minorEastAsia" w:cstheme="minorBidi"/>
          <w:lang w:val="sl-SI" w:eastAsia="sl-SI"/>
        </w:rPr>
      </w:pPr>
      <w:hyperlink w:anchor="_Toc63099494" w:history="1">
        <w:r w:rsidR="00385224" w:rsidRPr="00385224">
          <w:rPr>
            <w:rStyle w:val="Hyperlink"/>
            <w:color w:val="023160" w:themeColor="hyperlink" w:themeShade="80"/>
          </w:rPr>
          <w:t>3.</w:t>
        </w:r>
        <w:r w:rsidR="00385224" w:rsidRPr="00385224">
          <w:rPr>
            <w:rFonts w:eastAsiaTheme="minorEastAsia" w:cstheme="minorBidi"/>
            <w:lang w:val="sl-SI" w:eastAsia="sl-SI"/>
          </w:rPr>
          <w:tab/>
        </w:r>
        <w:r w:rsidR="00385224" w:rsidRPr="00385224">
          <w:rPr>
            <w:rStyle w:val="Hyperlink"/>
            <w:color w:val="023160" w:themeColor="hyperlink" w:themeShade="80"/>
          </w:rPr>
          <w:t>TRŽIŠTE RADA</w:t>
        </w:r>
        <w:r w:rsidR="00385224" w:rsidRPr="00385224">
          <w:rPr>
            <w:webHidden/>
          </w:rPr>
          <w:tab/>
        </w:r>
        <w:r w:rsidRPr="00385224">
          <w:rPr>
            <w:webHidden/>
          </w:rPr>
          <w:fldChar w:fldCharType="begin"/>
        </w:r>
        <w:r w:rsidR="00385224" w:rsidRPr="00385224">
          <w:rPr>
            <w:webHidden/>
          </w:rPr>
          <w:instrText xml:space="preserve"> PAGEREF _Toc63099494 \h </w:instrText>
        </w:r>
        <w:r w:rsidRPr="00385224">
          <w:rPr>
            <w:webHidden/>
          </w:rPr>
        </w:r>
        <w:r w:rsidRPr="00385224">
          <w:rPr>
            <w:webHidden/>
          </w:rPr>
          <w:fldChar w:fldCharType="separate"/>
        </w:r>
        <w:r w:rsidR="00D16837">
          <w:rPr>
            <w:webHidden/>
          </w:rPr>
          <w:t>14</w:t>
        </w:r>
        <w:r w:rsidRPr="00385224">
          <w:rPr>
            <w:webHidden/>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495" w:history="1">
        <w:r w:rsidR="00385224" w:rsidRPr="00385224">
          <w:rPr>
            <w:rStyle w:val="Hyperlink"/>
            <w:rFonts w:ascii="Cambria" w:hAnsi="Cambria" w:cs="Arial"/>
            <w:noProof/>
            <w:sz w:val="22"/>
            <w:szCs w:val="22"/>
          </w:rPr>
          <w:t>3.1 Zaposlenost i zarade</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_Toc63099495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15</w:t>
        </w:r>
        <w:r w:rsidRPr="00385224">
          <w:rPr>
            <w:rFonts w:ascii="Cambria" w:hAnsi="Cambria"/>
            <w:noProof/>
            <w:webHidden/>
            <w:sz w:val="22"/>
            <w:szCs w:val="22"/>
          </w:rPr>
          <w:fldChar w:fldCharType="end"/>
        </w:r>
      </w:hyperlink>
    </w:p>
    <w:p w:rsidR="00385224" w:rsidRPr="00385224" w:rsidRDefault="001E3C64">
      <w:pPr>
        <w:pStyle w:val="TOC2"/>
        <w:tabs>
          <w:tab w:val="left" w:pos="800"/>
          <w:tab w:val="right" w:leader="dot" w:pos="9231"/>
        </w:tabs>
        <w:rPr>
          <w:rFonts w:ascii="Cambria" w:eastAsiaTheme="minorEastAsia" w:hAnsi="Cambria" w:cstheme="minorBidi"/>
          <w:smallCaps w:val="0"/>
          <w:noProof/>
          <w:sz w:val="22"/>
          <w:szCs w:val="22"/>
          <w:lang w:val="sl-SI" w:eastAsia="sl-SI"/>
        </w:rPr>
      </w:pPr>
      <w:hyperlink w:anchor="_Toc63099496" w:history="1">
        <w:r w:rsidR="00385224" w:rsidRPr="00385224">
          <w:rPr>
            <w:rStyle w:val="Hyperlink"/>
            <w:rFonts w:ascii="Cambria" w:hAnsi="Cambria" w:cs="Arial"/>
            <w:noProof/>
            <w:sz w:val="22"/>
            <w:szCs w:val="22"/>
          </w:rPr>
          <w:t>3.2</w:t>
        </w:r>
        <w:r w:rsidR="00385224">
          <w:rPr>
            <w:rStyle w:val="Hyperlink"/>
            <w:rFonts w:ascii="Cambria" w:hAnsi="Cambria" w:cs="Arial"/>
            <w:noProof/>
            <w:sz w:val="22"/>
            <w:szCs w:val="22"/>
          </w:rPr>
          <w:t xml:space="preserve"> </w:t>
        </w:r>
        <w:r w:rsidR="00385224" w:rsidRPr="00385224">
          <w:rPr>
            <w:rStyle w:val="Hyperlink"/>
            <w:rFonts w:ascii="Cambria" w:hAnsi="Cambria" w:cs="Arial"/>
            <w:noProof/>
            <w:sz w:val="22"/>
            <w:szCs w:val="22"/>
          </w:rPr>
          <w:t>Nezaposlenost</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_Toc63099496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17</w:t>
        </w:r>
        <w:r w:rsidRPr="00385224">
          <w:rPr>
            <w:rFonts w:ascii="Cambria" w:hAnsi="Cambria"/>
            <w:noProof/>
            <w:webHidden/>
            <w:sz w:val="22"/>
            <w:szCs w:val="22"/>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497" w:history="1">
        <w:r w:rsidR="00385224" w:rsidRPr="00385224">
          <w:rPr>
            <w:rStyle w:val="Hyperlink"/>
            <w:rFonts w:ascii="Cambria" w:hAnsi="Cambria"/>
            <w:noProof/>
            <w:sz w:val="22"/>
            <w:szCs w:val="22"/>
          </w:rPr>
          <w:t>3.3 Programi i mjere Zavoda za zapošljavanje</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_Toc63099497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21</w:t>
        </w:r>
        <w:r w:rsidRPr="00385224">
          <w:rPr>
            <w:rFonts w:ascii="Cambria" w:hAnsi="Cambria"/>
            <w:noProof/>
            <w:webHidden/>
            <w:sz w:val="22"/>
            <w:szCs w:val="22"/>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498" w:history="1">
        <w:r w:rsidR="00385224" w:rsidRPr="00385224">
          <w:rPr>
            <w:rStyle w:val="Hyperlink"/>
            <w:rFonts w:ascii="Cambria" w:hAnsi="Cambria" w:cs="Arial"/>
            <w:noProof/>
            <w:sz w:val="22"/>
            <w:szCs w:val="22"/>
          </w:rPr>
          <w:t>3.4 Tražnja radne snage</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_Toc63099498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24</w:t>
        </w:r>
        <w:r w:rsidRPr="00385224">
          <w:rPr>
            <w:rFonts w:ascii="Cambria" w:hAnsi="Cambria"/>
            <w:noProof/>
            <w:webHidden/>
            <w:sz w:val="22"/>
            <w:szCs w:val="22"/>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499" w:history="1">
        <w:r w:rsidR="00385224" w:rsidRPr="00385224">
          <w:rPr>
            <w:rStyle w:val="Hyperlink"/>
            <w:rFonts w:ascii="Cambria" w:hAnsi="Cambria"/>
            <w:noProof/>
            <w:sz w:val="22"/>
            <w:szCs w:val="22"/>
          </w:rPr>
          <w:t>3.5 Tražnja u pogledu znanja i vještina</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_Toc63099499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27</w:t>
        </w:r>
        <w:r w:rsidRPr="00385224">
          <w:rPr>
            <w:rFonts w:ascii="Cambria" w:hAnsi="Cambria"/>
            <w:noProof/>
            <w:webHidden/>
            <w:sz w:val="22"/>
            <w:szCs w:val="22"/>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500" w:history="1">
        <w:r w:rsidR="00385224" w:rsidRPr="00385224">
          <w:rPr>
            <w:rStyle w:val="Hyperlink"/>
            <w:rFonts w:ascii="Cambria" w:hAnsi="Cambria"/>
            <w:noProof/>
            <w:sz w:val="22"/>
            <w:szCs w:val="22"/>
          </w:rPr>
          <w:t>3.6 Ponuda obrazovanja i osposobljavanja odraslih u opštini</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_Toc63099500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29</w:t>
        </w:r>
        <w:r w:rsidRPr="00385224">
          <w:rPr>
            <w:rFonts w:ascii="Cambria" w:hAnsi="Cambria"/>
            <w:noProof/>
            <w:webHidden/>
            <w:sz w:val="22"/>
            <w:szCs w:val="22"/>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501" w:history="1">
        <w:r w:rsidR="00385224" w:rsidRPr="00385224">
          <w:rPr>
            <w:rStyle w:val="Hyperlink"/>
            <w:rFonts w:ascii="Cambria" w:hAnsi="Cambria" w:cs="Arial"/>
            <w:noProof/>
            <w:sz w:val="22"/>
            <w:szCs w:val="22"/>
          </w:rPr>
          <w:t>3.7 Socijalna inkluzija i socijalna isključenost</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_Toc63099501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30</w:t>
        </w:r>
        <w:r w:rsidRPr="00385224">
          <w:rPr>
            <w:rFonts w:ascii="Cambria" w:hAnsi="Cambria"/>
            <w:noProof/>
            <w:webHidden/>
            <w:sz w:val="22"/>
            <w:szCs w:val="22"/>
          </w:rPr>
          <w:fldChar w:fldCharType="end"/>
        </w:r>
      </w:hyperlink>
    </w:p>
    <w:p w:rsidR="00385224" w:rsidRDefault="001E3C64">
      <w:pPr>
        <w:pStyle w:val="TOC2"/>
        <w:tabs>
          <w:tab w:val="right" w:leader="dot" w:pos="9231"/>
        </w:tabs>
        <w:rPr>
          <w:rStyle w:val="Hyperlink"/>
          <w:rFonts w:ascii="Cambria" w:hAnsi="Cambria"/>
          <w:noProof/>
          <w:sz w:val="22"/>
          <w:szCs w:val="22"/>
        </w:rPr>
      </w:pPr>
      <w:hyperlink w:anchor="_Toc63099502" w:history="1">
        <w:r w:rsidR="00385224" w:rsidRPr="00385224">
          <w:rPr>
            <w:rStyle w:val="Hyperlink"/>
            <w:rFonts w:ascii="Cambria" w:hAnsi="Cambria" w:cs="Arial"/>
            <w:noProof/>
            <w:sz w:val="22"/>
            <w:szCs w:val="22"/>
          </w:rPr>
          <w:t>3.8 Zaključak</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_Toc63099502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32</w:t>
        </w:r>
        <w:r w:rsidRPr="00385224">
          <w:rPr>
            <w:rFonts w:ascii="Cambria" w:hAnsi="Cambria"/>
            <w:noProof/>
            <w:webHidden/>
            <w:sz w:val="22"/>
            <w:szCs w:val="22"/>
          </w:rPr>
          <w:fldChar w:fldCharType="end"/>
        </w:r>
      </w:hyperlink>
    </w:p>
    <w:p w:rsidR="00385224" w:rsidRPr="00385224" w:rsidRDefault="00385224" w:rsidP="00385224">
      <w:pPr>
        <w:rPr>
          <w:noProof/>
        </w:rPr>
      </w:pPr>
    </w:p>
    <w:p w:rsidR="00385224" w:rsidRPr="00385224" w:rsidRDefault="001E3C64" w:rsidP="00385224">
      <w:pPr>
        <w:pStyle w:val="TOC1"/>
        <w:rPr>
          <w:rFonts w:eastAsiaTheme="minorEastAsia" w:cstheme="minorBidi"/>
          <w:lang w:val="sl-SI" w:eastAsia="sl-SI"/>
        </w:rPr>
      </w:pPr>
      <w:hyperlink w:anchor="_Toc63099503" w:history="1">
        <w:r w:rsidR="00385224" w:rsidRPr="00385224">
          <w:rPr>
            <w:rStyle w:val="Hyperlink"/>
            <w:rFonts w:cs="Arial"/>
            <w:color w:val="023160" w:themeColor="hyperlink" w:themeShade="80"/>
          </w:rPr>
          <w:t>4.</w:t>
        </w:r>
        <w:r w:rsidR="00385224" w:rsidRPr="00385224">
          <w:rPr>
            <w:rFonts w:eastAsiaTheme="minorEastAsia" w:cstheme="minorBidi"/>
            <w:lang w:val="sl-SI" w:eastAsia="sl-SI"/>
          </w:rPr>
          <w:tab/>
        </w:r>
        <w:r w:rsidR="00385224" w:rsidRPr="00385224">
          <w:rPr>
            <w:rStyle w:val="Hyperlink"/>
            <w:color w:val="023160" w:themeColor="hyperlink" w:themeShade="80"/>
          </w:rPr>
          <w:t>SWOT ANALIZA</w:t>
        </w:r>
        <w:r w:rsidR="00385224" w:rsidRPr="00385224">
          <w:rPr>
            <w:webHidden/>
          </w:rPr>
          <w:tab/>
        </w:r>
        <w:r w:rsidRPr="00385224">
          <w:rPr>
            <w:webHidden/>
          </w:rPr>
          <w:fldChar w:fldCharType="begin"/>
        </w:r>
        <w:r w:rsidR="00385224" w:rsidRPr="00385224">
          <w:rPr>
            <w:webHidden/>
          </w:rPr>
          <w:instrText xml:space="preserve"> PAGEREF _Toc63099503 \h </w:instrText>
        </w:r>
        <w:r w:rsidRPr="00385224">
          <w:rPr>
            <w:webHidden/>
          </w:rPr>
        </w:r>
        <w:r w:rsidRPr="00385224">
          <w:rPr>
            <w:webHidden/>
          </w:rPr>
          <w:fldChar w:fldCharType="separate"/>
        </w:r>
        <w:r w:rsidR="00D16837">
          <w:rPr>
            <w:webHidden/>
          </w:rPr>
          <w:t>34</w:t>
        </w:r>
        <w:r w:rsidRPr="00385224">
          <w:rPr>
            <w:webHidden/>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504" w:history="1">
        <w:r w:rsidR="00385224" w:rsidRPr="00385224">
          <w:rPr>
            <w:rStyle w:val="Hyperlink"/>
            <w:rFonts w:ascii="Cambria" w:eastAsia="Calibri" w:hAnsi="Cambria"/>
            <w:noProof/>
            <w:sz w:val="22"/>
            <w:szCs w:val="22"/>
            <w:lang w:val="en-US"/>
          </w:rPr>
          <w:t xml:space="preserve">4.1 </w:t>
        </w:r>
        <w:r w:rsidR="00F24DAB" w:rsidRPr="00385224">
          <w:rPr>
            <w:rStyle w:val="Hyperlink"/>
            <w:rFonts w:ascii="Cambria" w:eastAsia="Calibri" w:hAnsi="Cambria"/>
            <w:noProof/>
            <w:sz w:val="22"/>
            <w:szCs w:val="22"/>
            <w:lang w:val="en-US"/>
          </w:rPr>
          <w:t>L</w:t>
        </w:r>
        <w:r w:rsidR="00385224" w:rsidRPr="00385224">
          <w:rPr>
            <w:rStyle w:val="Hyperlink"/>
            <w:rFonts w:ascii="Cambria" w:eastAsia="Calibri" w:hAnsi="Cambria"/>
            <w:noProof/>
            <w:sz w:val="22"/>
            <w:szCs w:val="22"/>
            <w:lang w:val="en-US"/>
          </w:rPr>
          <w:t>okalno tržište rada i radna snaga</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_Toc63099504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34</w:t>
        </w:r>
        <w:r w:rsidRPr="00385224">
          <w:rPr>
            <w:rFonts w:ascii="Cambria" w:hAnsi="Cambria"/>
            <w:noProof/>
            <w:webHidden/>
            <w:sz w:val="22"/>
            <w:szCs w:val="22"/>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505" w:history="1">
        <w:r w:rsidR="00385224" w:rsidRPr="00385224">
          <w:rPr>
            <w:rStyle w:val="Hyperlink"/>
            <w:rFonts w:ascii="Cambria" w:hAnsi="Cambria"/>
            <w:noProof/>
            <w:sz w:val="22"/>
            <w:szCs w:val="22"/>
          </w:rPr>
          <w:t xml:space="preserve">4.2 </w:t>
        </w:r>
        <w:r w:rsidR="00F24DAB" w:rsidRPr="00385224">
          <w:rPr>
            <w:rStyle w:val="Hyperlink"/>
            <w:rFonts w:ascii="Cambria" w:hAnsi="Cambria"/>
            <w:noProof/>
            <w:sz w:val="22"/>
            <w:szCs w:val="22"/>
          </w:rPr>
          <w:t>O</w:t>
        </w:r>
        <w:r w:rsidR="00385224" w:rsidRPr="00385224">
          <w:rPr>
            <w:rStyle w:val="Hyperlink"/>
            <w:rFonts w:ascii="Cambria" w:hAnsi="Cambria"/>
            <w:noProof/>
            <w:sz w:val="22"/>
            <w:szCs w:val="22"/>
          </w:rPr>
          <w:t>brazovanje i osposobljavanje radne snage u opštini</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_Toc63099505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35</w:t>
        </w:r>
        <w:r w:rsidRPr="00385224">
          <w:rPr>
            <w:rFonts w:ascii="Cambria" w:hAnsi="Cambria"/>
            <w:noProof/>
            <w:webHidden/>
            <w:sz w:val="22"/>
            <w:szCs w:val="22"/>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506" w:history="1">
        <w:r w:rsidR="00385224" w:rsidRPr="00385224">
          <w:rPr>
            <w:rStyle w:val="Hyperlink"/>
            <w:rFonts w:ascii="Cambria" w:hAnsi="Cambria"/>
            <w:noProof/>
            <w:sz w:val="22"/>
            <w:szCs w:val="22"/>
          </w:rPr>
          <w:t xml:space="preserve">4.3 </w:t>
        </w:r>
        <w:r w:rsidR="00F24DAB" w:rsidRPr="00385224">
          <w:rPr>
            <w:rStyle w:val="Hyperlink"/>
            <w:rFonts w:ascii="Cambria" w:hAnsi="Cambria"/>
            <w:noProof/>
            <w:sz w:val="22"/>
            <w:szCs w:val="22"/>
          </w:rPr>
          <w:t>S</w:t>
        </w:r>
        <w:r w:rsidR="00385224" w:rsidRPr="00385224">
          <w:rPr>
            <w:rStyle w:val="Hyperlink"/>
            <w:rFonts w:ascii="Cambria" w:hAnsi="Cambria"/>
            <w:noProof/>
            <w:sz w:val="22"/>
            <w:szCs w:val="22"/>
          </w:rPr>
          <w:t>ocijalna inkluzija/socijalna isključenost na lokalnom tržištu</w:t>
        </w:r>
      </w:hyperlink>
      <w:r w:rsidR="00385224">
        <w:rPr>
          <w:rStyle w:val="Hyperlink"/>
          <w:rFonts w:ascii="Cambria" w:hAnsi="Cambria"/>
          <w:noProof/>
          <w:sz w:val="22"/>
          <w:szCs w:val="22"/>
        </w:rPr>
        <w:t xml:space="preserve"> </w:t>
      </w:r>
      <w:hyperlink w:anchor="_Toc63099507" w:history="1">
        <w:r w:rsidR="00385224" w:rsidRPr="00385224">
          <w:rPr>
            <w:rStyle w:val="Hyperlink"/>
            <w:rFonts w:ascii="Cambria" w:hAnsi="Cambria"/>
            <w:noProof/>
            <w:sz w:val="22"/>
            <w:szCs w:val="22"/>
          </w:rPr>
          <w:t>rada</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_Toc63099507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36</w:t>
        </w:r>
        <w:r w:rsidRPr="00385224">
          <w:rPr>
            <w:rFonts w:ascii="Cambria" w:hAnsi="Cambria"/>
            <w:noProof/>
            <w:webHidden/>
            <w:sz w:val="22"/>
            <w:szCs w:val="22"/>
          </w:rPr>
          <w:fldChar w:fldCharType="end"/>
        </w:r>
      </w:hyperlink>
    </w:p>
    <w:p w:rsidR="00385224" w:rsidRDefault="001E3C64">
      <w:pPr>
        <w:pStyle w:val="TOC2"/>
        <w:tabs>
          <w:tab w:val="right" w:leader="dot" w:pos="9231"/>
        </w:tabs>
        <w:rPr>
          <w:rStyle w:val="Hyperlink"/>
          <w:rFonts w:ascii="Cambria" w:hAnsi="Cambria"/>
          <w:noProof/>
          <w:sz w:val="22"/>
          <w:szCs w:val="22"/>
        </w:rPr>
      </w:pPr>
      <w:hyperlink w:anchor="_Toc63099508" w:history="1">
        <w:r w:rsidR="00385224" w:rsidRPr="00385224">
          <w:rPr>
            <w:rStyle w:val="Hyperlink"/>
            <w:rFonts w:ascii="Cambria" w:hAnsi="Cambria"/>
            <w:noProof/>
            <w:sz w:val="22"/>
            <w:szCs w:val="22"/>
          </w:rPr>
          <w:t xml:space="preserve">4.4 </w:t>
        </w:r>
        <w:r w:rsidR="00F24DAB" w:rsidRPr="00385224">
          <w:rPr>
            <w:rStyle w:val="Hyperlink"/>
            <w:rFonts w:ascii="Cambria" w:hAnsi="Cambria"/>
            <w:noProof/>
            <w:sz w:val="22"/>
            <w:szCs w:val="22"/>
          </w:rPr>
          <w:t>K</w:t>
        </w:r>
        <w:r w:rsidR="00385224" w:rsidRPr="00385224">
          <w:rPr>
            <w:rStyle w:val="Hyperlink"/>
            <w:rFonts w:ascii="Cambria" w:hAnsi="Cambria"/>
            <w:noProof/>
            <w:sz w:val="22"/>
            <w:szCs w:val="22"/>
          </w:rPr>
          <w:t>ljučni problemi tržišta rada podgorice</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_Toc63099508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37</w:t>
        </w:r>
        <w:r w:rsidRPr="00385224">
          <w:rPr>
            <w:rFonts w:ascii="Cambria" w:hAnsi="Cambria"/>
            <w:noProof/>
            <w:webHidden/>
            <w:sz w:val="22"/>
            <w:szCs w:val="22"/>
          </w:rPr>
          <w:fldChar w:fldCharType="end"/>
        </w:r>
      </w:hyperlink>
    </w:p>
    <w:p w:rsidR="00385224" w:rsidRPr="00385224" w:rsidRDefault="00385224" w:rsidP="00385224">
      <w:pPr>
        <w:rPr>
          <w:noProof/>
        </w:rPr>
      </w:pPr>
    </w:p>
    <w:p w:rsidR="00385224" w:rsidRPr="00385224" w:rsidRDefault="001E3C64" w:rsidP="00385224">
      <w:pPr>
        <w:pStyle w:val="TOC1"/>
        <w:rPr>
          <w:rFonts w:eastAsiaTheme="minorEastAsia" w:cstheme="minorBidi"/>
          <w:lang w:val="sl-SI" w:eastAsia="sl-SI"/>
        </w:rPr>
      </w:pPr>
      <w:hyperlink w:anchor="_Toc63099509" w:history="1">
        <w:r w:rsidR="00385224" w:rsidRPr="00385224">
          <w:rPr>
            <w:rStyle w:val="Hyperlink"/>
            <w:color w:val="023160" w:themeColor="hyperlink" w:themeShade="80"/>
          </w:rPr>
          <w:t>5. VIZIJA, CILJEVI, PRIORITETI I MJERE STRATEGIJE ZAPOŠLJAVANJA</w:t>
        </w:r>
        <w:r w:rsidR="00385224" w:rsidRPr="00385224">
          <w:rPr>
            <w:webHidden/>
          </w:rPr>
          <w:tab/>
        </w:r>
        <w:r w:rsidRPr="00385224">
          <w:rPr>
            <w:webHidden/>
          </w:rPr>
          <w:fldChar w:fldCharType="begin"/>
        </w:r>
        <w:r w:rsidR="00385224" w:rsidRPr="00385224">
          <w:rPr>
            <w:webHidden/>
          </w:rPr>
          <w:instrText xml:space="preserve"> PAGEREF _Toc63099509 \h </w:instrText>
        </w:r>
        <w:r w:rsidRPr="00385224">
          <w:rPr>
            <w:webHidden/>
          </w:rPr>
        </w:r>
        <w:r w:rsidRPr="00385224">
          <w:rPr>
            <w:webHidden/>
          </w:rPr>
          <w:fldChar w:fldCharType="separate"/>
        </w:r>
        <w:r w:rsidR="00D16837">
          <w:rPr>
            <w:webHidden/>
          </w:rPr>
          <w:t>37</w:t>
        </w:r>
        <w:r w:rsidRPr="00385224">
          <w:rPr>
            <w:webHidden/>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510" w:history="1">
        <w:r w:rsidR="00385224" w:rsidRPr="00385224">
          <w:rPr>
            <w:rStyle w:val="Hyperlink"/>
            <w:rFonts w:ascii="Cambria" w:hAnsi="Cambria"/>
            <w:noProof/>
            <w:sz w:val="22"/>
            <w:szCs w:val="22"/>
            <w:lang w:val="sl-SI"/>
          </w:rPr>
          <w:t xml:space="preserve">5.1 </w:t>
        </w:r>
        <w:r w:rsidR="00F24DAB" w:rsidRPr="00385224">
          <w:rPr>
            <w:rStyle w:val="Hyperlink"/>
            <w:rFonts w:ascii="Cambria" w:hAnsi="Cambria"/>
            <w:noProof/>
            <w:sz w:val="22"/>
            <w:szCs w:val="22"/>
            <w:lang w:val="sl-SI"/>
          </w:rPr>
          <w:t>V</w:t>
        </w:r>
        <w:r w:rsidR="00385224" w:rsidRPr="00385224">
          <w:rPr>
            <w:rStyle w:val="Hyperlink"/>
            <w:rFonts w:ascii="Cambria" w:hAnsi="Cambria"/>
            <w:noProof/>
            <w:sz w:val="22"/>
            <w:szCs w:val="22"/>
            <w:lang w:val="sl-SI"/>
          </w:rPr>
          <w:t>izija opštine u pogledu zapošljavanja i razvoja radne snage</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_Toc63099510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37</w:t>
        </w:r>
        <w:r w:rsidRPr="00385224">
          <w:rPr>
            <w:rFonts w:ascii="Cambria" w:hAnsi="Cambria"/>
            <w:noProof/>
            <w:webHidden/>
            <w:sz w:val="22"/>
            <w:szCs w:val="22"/>
          </w:rPr>
          <w:fldChar w:fldCharType="end"/>
        </w:r>
      </w:hyperlink>
    </w:p>
    <w:p w:rsidR="00385224" w:rsidRPr="00385224" w:rsidRDefault="001E3C64">
      <w:pPr>
        <w:pStyle w:val="TOC2"/>
        <w:tabs>
          <w:tab w:val="right" w:leader="dot" w:pos="9231"/>
        </w:tabs>
        <w:rPr>
          <w:rFonts w:ascii="Cambria" w:eastAsiaTheme="minorEastAsia" w:hAnsi="Cambria" w:cstheme="minorBidi"/>
          <w:smallCaps w:val="0"/>
          <w:noProof/>
          <w:sz w:val="22"/>
          <w:szCs w:val="22"/>
          <w:lang w:val="sl-SI" w:eastAsia="sl-SI"/>
        </w:rPr>
      </w:pPr>
      <w:hyperlink w:anchor="_Toc63099511" w:history="1">
        <w:r w:rsidR="00385224" w:rsidRPr="00385224">
          <w:rPr>
            <w:rStyle w:val="Hyperlink"/>
            <w:rFonts w:ascii="Cambria" w:hAnsi="Cambria"/>
            <w:noProof/>
            <w:sz w:val="22"/>
            <w:szCs w:val="22"/>
            <w:lang w:val="hr-HR"/>
          </w:rPr>
          <w:t xml:space="preserve">5.2 </w:t>
        </w:r>
        <w:r w:rsidR="00F24DAB" w:rsidRPr="00385224">
          <w:rPr>
            <w:rStyle w:val="Hyperlink"/>
            <w:rFonts w:ascii="Cambria" w:hAnsi="Cambria"/>
            <w:noProof/>
            <w:sz w:val="22"/>
            <w:szCs w:val="22"/>
            <w:lang w:val="hr-HR"/>
          </w:rPr>
          <w:t>C</w:t>
        </w:r>
        <w:r w:rsidR="00385224" w:rsidRPr="00385224">
          <w:rPr>
            <w:rStyle w:val="Hyperlink"/>
            <w:rFonts w:ascii="Cambria" w:hAnsi="Cambria"/>
            <w:noProof/>
            <w:sz w:val="22"/>
            <w:szCs w:val="22"/>
            <w:lang w:val="hr-HR"/>
          </w:rPr>
          <w:t>iljevi</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_Toc63099511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37</w:t>
        </w:r>
        <w:r w:rsidRPr="00385224">
          <w:rPr>
            <w:rFonts w:ascii="Cambria" w:hAnsi="Cambria"/>
            <w:noProof/>
            <w:webHidden/>
            <w:sz w:val="22"/>
            <w:szCs w:val="22"/>
          </w:rPr>
          <w:fldChar w:fldCharType="end"/>
        </w:r>
      </w:hyperlink>
    </w:p>
    <w:p w:rsidR="00385224" w:rsidRDefault="001E3C64">
      <w:pPr>
        <w:pStyle w:val="TOC2"/>
        <w:tabs>
          <w:tab w:val="right" w:leader="dot" w:pos="9231"/>
        </w:tabs>
        <w:rPr>
          <w:rStyle w:val="Hyperlink"/>
          <w:rFonts w:ascii="Cambria" w:hAnsi="Cambria"/>
          <w:noProof/>
          <w:sz w:val="22"/>
          <w:szCs w:val="22"/>
        </w:rPr>
      </w:pPr>
      <w:hyperlink w:anchor="_Toc63099512" w:history="1">
        <w:r w:rsidR="00385224" w:rsidRPr="00385224">
          <w:rPr>
            <w:rStyle w:val="Hyperlink"/>
            <w:rFonts w:ascii="Cambria" w:hAnsi="Cambria"/>
            <w:noProof/>
            <w:sz w:val="22"/>
            <w:szCs w:val="22"/>
          </w:rPr>
          <w:t xml:space="preserve">5.3 </w:t>
        </w:r>
        <w:r w:rsidR="00F24DAB" w:rsidRPr="00385224">
          <w:rPr>
            <w:rStyle w:val="Hyperlink"/>
            <w:rFonts w:ascii="Cambria" w:hAnsi="Cambria"/>
            <w:noProof/>
            <w:sz w:val="22"/>
            <w:szCs w:val="22"/>
          </w:rPr>
          <w:t>A</w:t>
        </w:r>
        <w:r w:rsidR="00385224" w:rsidRPr="00385224">
          <w:rPr>
            <w:rStyle w:val="Hyperlink"/>
            <w:rFonts w:ascii="Cambria" w:hAnsi="Cambria"/>
            <w:noProof/>
            <w:sz w:val="22"/>
            <w:szCs w:val="22"/>
          </w:rPr>
          <w:t>ktivnosti</w:t>
        </w:r>
        <w:r w:rsidR="00385224" w:rsidRPr="00385224">
          <w:rPr>
            <w:rFonts w:ascii="Cambria" w:hAnsi="Cambria"/>
            <w:noProof/>
            <w:webHidden/>
            <w:sz w:val="22"/>
            <w:szCs w:val="22"/>
          </w:rPr>
          <w:tab/>
        </w:r>
        <w:r w:rsidRPr="00385224">
          <w:rPr>
            <w:rFonts w:ascii="Cambria" w:hAnsi="Cambria"/>
            <w:noProof/>
            <w:webHidden/>
            <w:sz w:val="22"/>
            <w:szCs w:val="22"/>
          </w:rPr>
          <w:fldChar w:fldCharType="begin"/>
        </w:r>
        <w:r w:rsidR="00385224" w:rsidRPr="00385224">
          <w:rPr>
            <w:rFonts w:ascii="Cambria" w:hAnsi="Cambria"/>
            <w:noProof/>
            <w:webHidden/>
            <w:sz w:val="22"/>
            <w:szCs w:val="22"/>
          </w:rPr>
          <w:instrText xml:space="preserve"> PAGEREF _Toc63099512 \h </w:instrText>
        </w:r>
        <w:r w:rsidRPr="00385224">
          <w:rPr>
            <w:rFonts w:ascii="Cambria" w:hAnsi="Cambria"/>
            <w:noProof/>
            <w:webHidden/>
            <w:sz w:val="22"/>
            <w:szCs w:val="22"/>
          </w:rPr>
        </w:r>
        <w:r w:rsidRPr="00385224">
          <w:rPr>
            <w:rFonts w:ascii="Cambria" w:hAnsi="Cambria"/>
            <w:noProof/>
            <w:webHidden/>
            <w:sz w:val="22"/>
            <w:szCs w:val="22"/>
          </w:rPr>
          <w:fldChar w:fldCharType="separate"/>
        </w:r>
        <w:r w:rsidR="00D16837">
          <w:rPr>
            <w:rFonts w:ascii="Cambria" w:hAnsi="Cambria"/>
            <w:noProof/>
            <w:webHidden/>
            <w:sz w:val="22"/>
            <w:szCs w:val="22"/>
          </w:rPr>
          <w:t>38</w:t>
        </w:r>
        <w:r w:rsidRPr="00385224">
          <w:rPr>
            <w:rFonts w:ascii="Cambria" w:hAnsi="Cambria"/>
            <w:noProof/>
            <w:webHidden/>
            <w:sz w:val="22"/>
            <w:szCs w:val="22"/>
          </w:rPr>
          <w:fldChar w:fldCharType="end"/>
        </w:r>
      </w:hyperlink>
    </w:p>
    <w:p w:rsidR="00385224" w:rsidRPr="00385224" w:rsidRDefault="00385224" w:rsidP="00385224">
      <w:pPr>
        <w:rPr>
          <w:noProof/>
        </w:rPr>
      </w:pPr>
    </w:p>
    <w:p w:rsidR="00385224" w:rsidRDefault="001E3C64" w:rsidP="00385224">
      <w:pPr>
        <w:pStyle w:val="TOC1"/>
        <w:rPr>
          <w:rStyle w:val="Hyperlink"/>
          <w:color w:val="023160" w:themeColor="hyperlink" w:themeShade="80"/>
        </w:rPr>
      </w:pPr>
      <w:hyperlink w:anchor="_Toc63099513" w:history="1">
        <w:r w:rsidR="00385224" w:rsidRPr="00385224">
          <w:rPr>
            <w:rStyle w:val="Hyperlink"/>
            <w:color w:val="023160" w:themeColor="hyperlink" w:themeShade="80"/>
          </w:rPr>
          <w:t>6.</w:t>
        </w:r>
        <w:r w:rsidR="00385224" w:rsidRPr="00385224">
          <w:rPr>
            <w:rFonts w:eastAsiaTheme="minorEastAsia" w:cstheme="minorBidi"/>
            <w:lang w:val="sl-SI" w:eastAsia="sl-SI"/>
          </w:rPr>
          <w:tab/>
        </w:r>
        <w:r w:rsidR="00385224" w:rsidRPr="00385224">
          <w:rPr>
            <w:rStyle w:val="Hyperlink"/>
            <w:color w:val="023160" w:themeColor="hyperlink" w:themeShade="80"/>
          </w:rPr>
          <w:t>UPRAVLJANJE, PRAĆENJE,  IZVJEŠTAVANJE I PROMOCIJA</w:t>
        </w:r>
        <w:r w:rsidR="00385224" w:rsidRPr="00385224">
          <w:rPr>
            <w:webHidden/>
          </w:rPr>
          <w:tab/>
        </w:r>
        <w:r w:rsidRPr="00385224">
          <w:rPr>
            <w:webHidden/>
          </w:rPr>
          <w:fldChar w:fldCharType="begin"/>
        </w:r>
        <w:r w:rsidR="00385224" w:rsidRPr="00385224">
          <w:rPr>
            <w:webHidden/>
          </w:rPr>
          <w:instrText xml:space="preserve"> PAGEREF _Toc63099513 \h </w:instrText>
        </w:r>
        <w:r w:rsidRPr="00385224">
          <w:rPr>
            <w:webHidden/>
          </w:rPr>
        </w:r>
        <w:r w:rsidRPr="00385224">
          <w:rPr>
            <w:webHidden/>
          </w:rPr>
          <w:fldChar w:fldCharType="separate"/>
        </w:r>
        <w:r w:rsidR="00D16837">
          <w:rPr>
            <w:webHidden/>
          </w:rPr>
          <w:t>39</w:t>
        </w:r>
        <w:r w:rsidRPr="00385224">
          <w:rPr>
            <w:webHidden/>
          </w:rPr>
          <w:fldChar w:fldCharType="end"/>
        </w:r>
      </w:hyperlink>
    </w:p>
    <w:p w:rsidR="00385224" w:rsidRPr="00385224" w:rsidRDefault="00385224" w:rsidP="00385224">
      <w:pPr>
        <w:rPr>
          <w:noProof/>
          <w:lang w:val="hr-HR"/>
        </w:rPr>
      </w:pPr>
    </w:p>
    <w:p w:rsidR="00385224" w:rsidRDefault="001E3C64" w:rsidP="00385224">
      <w:pPr>
        <w:pStyle w:val="TOC1"/>
        <w:rPr>
          <w:rStyle w:val="Hyperlink"/>
          <w:color w:val="023160" w:themeColor="hyperlink" w:themeShade="80"/>
        </w:rPr>
      </w:pPr>
      <w:hyperlink w:anchor="_Toc63099514" w:history="1">
        <w:r w:rsidR="00385224" w:rsidRPr="00385224">
          <w:rPr>
            <w:rStyle w:val="Hyperlink"/>
            <w:color w:val="023160" w:themeColor="hyperlink" w:themeShade="80"/>
          </w:rPr>
          <w:t>AKCIONI PLAN ZAPOŠLJAVANJA GLAVNOG GRADA PODGORICA  ZA 2021. GODINU</w:t>
        </w:r>
        <w:r w:rsidR="00385224" w:rsidRPr="00385224">
          <w:rPr>
            <w:webHidden/>
          </w:rPr>
          <w:tab/>
        </w:r>
        <w:r w:rsidRPr="00385224">
          <w:rPr>
            <w:webHidden/>
          </w:rPr>
          <w:fldChar w:fldCharType="begin"/>
        </w:r>
        <w:r w:rsidR="00385224" w:rsidRPr="00385224">
          <w:rPr>
            <w:webHidden/>
          </w:rPr>
          <w:instrText xml:space="preserve"> PAGEREF _Toc63099514 \h </w:instrText>
        </w:r>
        <w:r w:rsidRPr="00385224">
          <w:rPr>
            <w:webHidden/>
          </w:rPr>
        </w:r>
        <w:r w:rsidRPr="00385224">
          <w:rPr>
            <w:webHidden/>
          </w:rPr>
          <w:fldChar w:fldCharType="separate"/>
        </w:r>
        <w:r w:rsidR="00D16837">
          <w:rPr>
            <w:webHidden/>
          </w:rPr>
          <w:t>41</w:t>
        </w:r>
        <w:r w:rsidRPr="00385224">
          <w:rPr>
            <w:webHidden/>
          </w:rPr>
          <w:fldChar w:fldCharType="end"/>
        </w:r>
      </w:hyperlink>
    </w:p>
    <w:p w:rsidR="00385224" w:rsidRPr="00385224" w:rsidRDefault="00385224" w:rsidP="00385224">
      <w:pPr>
        <w:rPr>
          <w:noProof/>
          <w:lang w:val="hr-HR"/>
        </w:rPr>
      </w:pPr>
    </w:p>
    <w:p w:rsidR="00385224" w:rsidRPr="00385224" w:rsidRDefault="00385224">
      <w:pPr>
        <w:pStyle w:val="TOC2"/>
        <w:tabs>
          <w:tab w:val="right" w:leader="dot" w:pos="9231"/>
        </w:tabs>
        <w:rPr>
          <w:rFonts w:ascii="Cambria" w:eastAsiaTheme="minorEastAsia" w:hAnsi="Cambria" w:cstheme="minorBidi"/>
          <w:smallCaps w:val="0"/>
          <w:noProof/>
          <w:sz w:val="22"/>
          <w:szCs w:val="22"/>
          <w:lang w:val="sl-SI" w:eastAsia="sl-SI"/>
        </w:rPr>
      </w:pPr>
    </w:p>
    <w:p w:rsidR="00DA06C9" w:rsidRPr="008C22A8" w:rsidRDefault="001E3C64" w:rsidP="00DE28B8">
      <w:pPr>
        <w:rPr>
          <w:rFonts w:cs="Arial"/>
        </w:rPr>
      </w:pPr>
      <w:r w:rsidRPr="00385224">
        <w:rPr>
          <w:rFonts w:cs="Arial"/>
          <w:sz w:val="22"/>
          <w:szCs w:val="22"/>
        </w:rPr>
        <w:fldChar w:fldCharType="end"/>
      </w:r>
    </w:p>
    <w:p w:rsidR="00DA06C9" w:rsidRPr="008C22A8" w:rsidRDefault="00DA06C9" w:rsidP="00DE28B8">
      <w:pPr>
        <w:rPr>
          <w:rFonts w:cs="Arial"/>
        </w:rPr>
      </w:pPr>
    </w:p>
    <w:p w:rsidR="00AD0E36" w:rsidRDefault="00AD0E36" w:rsidP="00DE28B8">
      <w:pPr>
        <w:rPr>
          <w:rFonts w:eastAsiaTheme="majorEastAsia" w:cs="Arial"/>
          <w:b/>
          <w:sz w:val="26"/>
          <w:szCs w:val="32"/>
          <w:highlight w:val="lightGray"/>
          <w:lang w:val="sl-SI"/>
        </w:rPr>
      </w:pPr>
      <w:bookmarkStart w:id="13" w:name="_Toc44873741"/>
      <w:r>
        <w:rPr>
          <w:rFonts w:cs="Arial"/>
          <w:highlight w:val="lightGray"/>
          <w:lang w:val="sl-SI"/>
        </w:rPr>
        <w:br w:type="page"/>
      </w:r>
    </w:p>
    <w:p w:rsidR="00813D12" w:rsidRPr="00015EE9" w:rsidRDefault="002C4CEB" w:rsidP="00767812">
      <w:pPr>
        <w:pStyle w:val="Heading1"/>
        <w:spacing w:before="0"/>
        <w:ind w:left="425" w:hanging="357"/>
        <w:rPr>
          <w:lang w:val="hr-HR"/>
        </w:rPr>
      </w:pPr>
      <w:bookmarkStart w:id="14" w:name="_Toc52644723"/>
      <w:bookmarkStart w:id="15" w:name="_Toc58581868"/>
      <w:bookmarkStart w:id="16" w:name="_Toc61289774"/>
      <w:bookmarkStart w:id="17" w:name="_Toc63099489"/>
      <w:bookmarkEnd w:id="13"/>
      <w:r w:rsidRPr="00015EE9">
        <w:rPr>
          <w:lang w:val="hr-HR"/>
        </w:rPr>
        <w:lastRenderedPageBreak/>
        <w:t>UVOD</w:t>
      </w:r>
      <w:bookmarkEnd w:id="14"/>
      <w:bookmarkEnd w:id="15"/>
      <w:bookmarkEnd w:id="16"/>
      <w:bookmarkEnd w:id="17"/>
    </w:p>
    <w:p w:rsidR="002C4CEB" w:rsidRDefault="002C4CEB" w:rsidP="00DE28B8">
      <w:pPr>
        <w:rPr>
          <w:lang w:val="hr-HR"/>
        </w:rPr>
      </w:pPr>
    </w:p>
    <w:p w:rsidR="002C4CEB" w:rsidRPr="002C4CEB" w:rsidRDefault="002C4CEB" w:rsidP="00DE28B8">
      <w:pPr>
        <w:rPr>
          <w:lang w:val="hr-HR"/>
        </w:rPr>
      </w:pPr>
    </w:p>
    <w:p w:rsidR="00EF77D6" w:rsidRPr="00EF77D6" w:rsidRDefault="00EF77D6" w:rsidP="00DE28B8">
      <w:pPr>
        <w:jc w:val="both"/>
        <w:rPr>
          <w:rFonts w:cs="Arial"/>
          <w:sz w:val="22"/>
          <w:szCs w:val="22"/>
          <w:lang w:val="bs-Latn-BA"/>
        </w:rPr>
      </w:pPr>
      <w:r w:rsidRPr="00EF77D6">
        <w:rPr>
          <w:rFonts w:eastAsia="Times New Roman" w:cs="Arial"/>
          <w:sz w:val="22"/>
          <w:szCs w:val="22"/>
          <w:lang w:eastAsia="tr-TR"/>
        </w:rPr>
        <w:t xml:space="preserve">Ministarstvo rada i socijalnog staranja Crne Gore je </w:t>
      </w:r>
      <w:r w:rsidRPr="00EF77D6">
        <w:rPr>
          <w:rFonts w:cs="Arial"/>
          <w:sz w:val="22"/>
          <w:szCs w:val="22"/>
          <w:lang w:val="bs-Latn-BA"/>
        </w:rPr>
        <w:t xml:space="preserve">u saradnji sa ključnim partnerima pokrenulo inicijativu kako bi </w:t>
      </w:r>
      <w:r w:rsidR="00A8165B">
        <w:rPr>
          <w:rFonts w:cs="Arial"/>
          <w:sz w:val="22"/>
          <w:szCs w:val="22"/>
          <w:lang w:val="bs-Latn-BA"/>
        </w:rPr>
        <w:t xml:space="preserve">se </w:t>
      </w:r>
      <w:r w:rsidRPr="00EF77D6">
        <w:rPr>
          <w:rFonts w:cs="Arial"/>
          <w:sz w:val="22"/>
          <w:szCs w:val="22"/>
          <w:lang w:val="bs-Latn-BA"/>
        </w:rPr>
        <w:t xml:space="preserve">razvio lokalni pristup za rješavanje pitanja nezaposlenosti, sa naglaskom na pružanje podrške lokalnim zajednicama da pronađu sopstvena rješenja za izazove na lokalnim tržištima rada. Na taj način se </w:t>
      </w:r>
      <w:r w:rsidRPr="00EF77D6">
        <w:rPr>
          <w:rFonts w:cs="Arial"/>
          <w:bCs/>
          <w:sz w:val="22"/>
          <w:szCs w:val="22"/>
          <w:lang w:val="bs-Latn-BA"/>
        </w:rPr>
        <w:t xml:space="preserve">aktivna politika zapošljavanja </w:t>
      </w:r>
      <w:r w:rsidRPr="00EF77D6">
        <w:rPr>
          <w:rFonts w:cs="Arial"/>
          <w:sz w:val="22"/>
          <w:szCs w:val="22"/>
          <w:lang w:val="bs-Latn-BA"/>
        </w:rPr>
        <w:t xml:space="preserve">može </w:t>
      </w:r>
      <w:r w:rsidRPr="00EF77D6">
        <w:rPr>
          <w:rFonts w:cs="Arial"/>
          <w:bCs/>
          <w:sz w:val="22"/>
          <w:szCs w:val="22"/>
          <w:lang w:val="bs-Latn-BA"/>
        </w:rPr>
        <w:t xml:space="preserve">bolje prilagoditi potrebama lokalnih tržišta rada i time povećati djelotvornost ukupne politike zapošljavanja u Crnoj Gori.  </w:t>
      </w:r>
    </w:p>
    <w:p w:rsidR="00EF77D6" w:rsidRPr="00EF77D6" w:rsidRDefault="00EF77D6" w:rsidP="00DE28B8">
      <w:pPr>
        <w:jc w:val="both"/>
        <w:rPr>
          <w:rFonts w:cs="Arial"/>
          <w:sz w:val="22"/>
          <w:szCs w:val="22"/>
          <w:lang w:val="bs-Latn-BA"/>
        </w:rPr>
      </w:pPr>
    </w:p>
    <w:p w:rsidR="00EF77D6" w:rsidRPr="00EF77D6" w:rsidRDefault="00283ACC" w:rsidP="00DE28B8">
      <w:pPr>
        <w:jc w:val="both"/>
        <w:rPr>
          <w:rFonts w:eastAsia="Times New Roman" w:cs="Arial"/>
          <w:sz w:val="22"/>
          <w:szCs w:val="22"/>
          <w:lang w:eastAsia="tr-TR"/>
        </w:rPr>
      </w:pPr>
      <w:r>
        <w:rPr>
          <w:rFonts w:cs="Arial"/>
          <w:sz w:val="22"/>
          <w:szCs w:val="22"/>
          <w:lang w:val="bs-Latn-BA"/>
        </w:rPr>
        <w:t>Glavni grad Podgorica</w:t>
      </w:r>
      <w:r w:rsidR="00632BB3">
        <w:rPr>
          <w:rFonts w:cs="Arial"/>
          <w:sz w:val="22"/>
          <w:szCs w:val="22"/>
          <w:lang w:val="bs-Latn-BA"/>
        </w:rPr>
        <w:t xml:space="preserve">, kao i većina crnogorskih opština, se </w:t>
      </w:r>
      <w:r>
        <w:rPr>
          <w:rFonts w:cs="Arial"/>
          <w:sz w:val="22"/>
          <w:szCs w:val="22"/>
          <w:lang w:val="bs-Latn-BA"/>
        </w:rPr>
        <w:t xml:space="preserve"> </w:t>
      </w:r>
      <w:r w:rsidR="00632BB3" w:rsidRPr="00EF77D6">
        <w:rPr>
          <w:rFonts w:cs="Arial"/>
          <w:sz w:val="22"/>
          <w:szCs w:val="22"/>
          <w:lang w:val="bs-Latn-BA"/>
        </w:rPr>
        <w:t>priključi</w:t>
      </w:r>
      <w:r w:rsidR="00632BB3">
        <w:rPr>
          <w:rFonts w:cs="Arial"/>
          <w:sz w:val="22"/>
          <w:szCs w:val="22"/>
          <w:lang w:val="bs-Latn-BA"/>
        </w:rPr>
        <w:t>o</w:t>
      </w:r>
      <w:r w:rsidR="00632BB3" w:rsidRPr="00EF77D6">
        <w:rPr>
          <w:rFonts w:cs="Arial"/>
          <w:sz w:val="22"/>
          <w:szCs w:val="22"/>
          <w:lang w:val="bs-Latn-BA"/>
        </w:rPr>
        <w:t xml:space="preserve"> </w:t>
      </w:r>
      <w:r w:rsidR="00EF77D6" w:rsidRPr="00EF77D6">
        <w:rPr>
          <w:rFonts w:cs="Arial"/>
          <w:sz w:val="22"/>
          <w:szCs w:val="22"/>
          <w:lang w:val="bs-Latn-BA"/>
        </w:rPr>
        <w:t xml:space="preserve">inicijativi. Imenovana je  lokalna partnerska grupa za zapošljavanje, čiji zadatak je izrada nacrta lokalne strategije zapošljavanja za </w:t>
      </w:r>
      <w:r w:rsidR="00EF77D6" w:rsidRPr="0086472B">
        <w:rPr>
          <w:rFonts w:cs="Arial"/>
          <w:sz w:val="22"/>
          <w:szCs w:val="22"/>
          <w:lang w:val="bs-Latn-BA"/>
        </w:rPr>
        <w:t>period  2021-20</w:t>
      </w:r>
      <w:r w:rsidR="0086472B" w:rsidRPr="0086472B">
        <w:rPr>
          <w:rFonts w:cs="Arial"/>
          <w:sz w:val="22"/>
          <w:szCs w:val="22"/>
          <w:lang w:val="bs-Latn-BA"/>
        </w:rPr>
        <w:t>25</w:t>
      </w:r>
      <w:r w:rsidR="00632BB3">
        <w:rPr>
          <w:rFonts w:cs="Arial"/>
          <w:sz w:val="22"/>
          <w:szCs w:val="22"/>
          <w:lang w:val="bs-Latn-BA"/>
        </w:rPr>
        <w:t>.</w:t>
      </w:r>
      <w:r w:rsidR="00EF77D6" w:rsidRPr="00EF77D6">
        <w:rPr>
          <w:rFonts w:cs="Arial"/>
          <w:sz w:val="22"/>
          <w:szCs w:val="22"/>
          <w:lang w:val="bs-Latn-BA"/>
        </w:rPr>
        <w:t xml:space="preserve"> i odgovarajućeg godišnjeg akcionog plana, uz tehničku podršku projekta „Dalji razvoj lokalnih inicijativa za zapošljavanje“, koji se finansira </w:t>
      </w:r>
      <w:r w:rsidR="00EF77D6" w:rsidRPr="00EF77D6">
        <w:rPr>
          <w:rFonts w:cs="Times-Roman"/>
          <w:sz w:val="22"/>
          <w:szCs w:val="22"/>
          <w:lang w:val="bs-Latn-BA" w:eastAsia="tr-TR"/>
        </w:rPr>
        <w:t xml:space="preserve">iz EU-IPA sredstava u okviru Sektorskog operativnog programa za zapošljavanje, obrazovanje i socijalnu politiku 2015-2017 (SOPEES). </w:t>
      </w:r>
    </w:p>
    <w:p w:rsidR="00EF77D6" w:rsidRPr="00EF77D6" w:rsidRDefault="00EF77D6" w:rsidP="00DE28B8">
      <w:pPr>
        <w:jc w:val="both"/>
        <w:rPr>
          <w:rFonts w:cs="Arial"/>
          <w:sz w:val="22"/>
          <w:szCs w:val="22"/>
        </w:rPr>
      </w:pPr>
    </w:p>
    <w:p w:rsidR="00EF77D6" w:rsidRPr="00EF77D6" w:rsidRDefault="00EF77D6" w:rsidP="00DE28B8">
      <w:pPr>
        <w:contextualSpacing/>
        <w:jc w:val="both"/>
        <w:rPr>
          <w:sz w:val="22"/>
          <w:szCs w:val="22"/>
        </w:rPr>
      </w:pPr>
      <w:bookmarkStart w:id="18" w:name="_Hlk55722656"/>
      <w:r w:rsidRPr="00EF77D6">
        <w:rPr>
          <w:sz w:val="22"/>
          <w:szCs w:val="22"/>
        </w:rPr>
        <w:t xml:space="preserve">Stanje na tržištu rada u lokalnoj sredini rezultat je velikog broja faktora koji u različitim sredinama mogu da djeluju različitim intenzitetom. Za potrebe izrade strategije zapošljavanja faktori su organizovani u sljedećih pet grupa: demografski kontekst, opšti ekonomski kontekst, kontekst kvalifikacione i prostorne interakcije ponude rada i tražnje za radom – </w:t>
      </w:r>
      <w:r w:rsidR="000A6B11">
        <w:rPr>
          <w:sz w:val="22"/>
          <w:szCs w:val="22"/>
        </w:rPr>
        <w:t>tj.</w:t>
      </w:r>
      <w:r w:rsidRPr="00EF77D6">
        <w:rPr>
          <w:sz w:val="22"/>
          <w:szCs w:val="22"/>
        </w:rPr>
        <w:t xml:space="preserve"> kontekst tržišta rada, kontekst socijalne ranjivosti, te kontekst kvaliteta životnog okruženja.  U tu svrhu koriš</w:t>
      </w:r>
      <w:r w:rsidR="00632BB3">
        <w:rPr>
          <w:sz w:val="22"/>
          <w:szCs w:val="22"/>
        </w:rPr>
        <w:t>ć</w:t>
      </w:r>
      <w:r w:rsidRPr="00EF77D6">
        <w:rPr>
          <w:sz w:val="22"/>
          <w:szCs w:val="22"/>
        </w:rPr>
        <w:t xml:space="preserve">ena je Analiza lokalnih tržišta rada u Crnoj Gori urađena u okviru pomenutog EU SOPEES projekta. Analiza se oslanja na širok spektar sekundarnih izvora podataka, uključujući prije svega nacionalnu statistiku kao i kvalitativna istraživanja. </w:t>
      </w:r>
    </w:p>
    <w:bookmarkEnd w:id="18"/>
    <w:p w:rsidR="00EF77D6" w:rsidRPr="00EF77D6" w:rsidRDefault="00EF77D6" w:rsidP="00DE28B8">
      <w:pPr>
        <w:contextualSpacing/>
        <w:jc w:val="both"/>
        <w:rPr>
          <w:sz w:val="22"/>
          <w:szCs w:val="22"/>
        </w:rPr>
      </w:pPr>
    </w:p>
    <w:p w:rsidR="00EF77D6" w:rsidRPr="00EF77D6" w:rsidRDefault="00EF77D6" w:rsidP="00DE28B8">
      <w:pPr>
        <w:contextualSpacing/>
        <w:jc w:val="both"/>
        <w:rPr>
          <w:sz w:val="22"/>
          <w:szCs w:val="22"/>
        </w:rPr>
      </w:pPr>
      <w:r w:rsidRPr="00EF77D6">
        <w:rPr>
          <w:sz w:val="22"/>
          <w:szCs w:val="22"/>
        </w:rPr>
        <w:t xml:space="preserve">Kako bi se osiguralo da su procjene analize u potpunosti autoritativne i da imaju dodatnu vrijednost za lokalne partnere, korišćena metodologija je omogućila da se znanja, stavovi i specifične informacije </w:t>
      </w:r>
      <w:r w:rsidR="00632BB3">
        <w:rPr>
          <w:sz w:val="22"/>
          <w:szCs w:val="22"/>
        </w:rPr>
        <w:t>kojima raspolažu</w:t>
      </w:r>
      <w:r w:rsidRPr="00EF77D6">
        <w:rPr>
          <w:sz w:val="22"/>
          <w:szCs w:val="22"/>
        </w:rPr>
        <w:t xml:space="preserve"> lokalni partner</w:t>
      </w:r>
      <w:r w:rsidR="00632BB3">
        <w:rPr>
          <w:sz w:val="22"/>
          <w:szCs w:val="22"/>
        </w:rPr>
        <w:t>i</w:t>
      </w:r>
      <w:r w:rsidRPr="00EF77D6">
        <w:rPr>
          <w:sz w:val="22"/>
          <w:szCs w:val="22"/>
        </w:rPr>
        <w:t xml:space="preserve"> u potpunosti uključe u strategiju. To je značilo dopunjavanje raspoloživih statističkih podataka iz postojećih zvaničnih izvora lokalno prikupljenim kvalitativnim i dodatnim kvantitativnim podacima koji su bili na raspolaganju lokalnim akterima. </w:t>
      </w:r>
    </w:p>
    <w:p w:rsidR="00EF77D6" w:rsidRPr="00EF77D6" w:rsidRDefault="00EF77D6" w:rsidP="00DE28B8">
      <w:pPr>
        <w:contextualSpacing/>
        <w:jc w:val="both"/>
        <w:rPr>
          <w:sz w:val="22"/>
          <w:szCs w:val="22"/>
        </w:rPr>
      </w:pPr>
    </w:p>
    <w:p w:rsidR="00EF77D6" w:rsidRPr="00B558BB" w:rsidRDefault="00EF77D6" w:rsidP="00B558BB">
      <w:pPr>
        <w:pStyle w:val="FootnoteText"/>
        <w:jc w:val="both"/>
        <w:rPr>
          <w:rFonts w:ascii="Cambria" w:hAnsi="Cambria" w:cs="Arial"/>
          <w:sz w:val="22"/>
          <w:szCs w:val="22"/>
        </w:rPr>
      </w:pPr>
      <w:r w:rsidRPr="00B558BB">
        <w:rPr>
          <w:rFonts w:ascii="Cambria" w:hAnsi="Cambria" w:cs="Arial"/>
          <w:sz w:val="22"/>
          <w:szCs w:val="22"/>
        </w:rPr>
        <w:t xml:space="preserve">U procesu izrade </w:t>
      </w:r>
      <w:r w:rsidR="00632BB3">
        <w:rPr>
          <w:rFonts w:ascii="Cambria" w:hAnsi="Cambria" w:cs="Arial"/>
          <w:sz w:val="22"/>
          <w:szCs w:val="22"/>
        </w:rPr>
        <w:t>lokalnih</w:t>
      </w:r>
      <w:r w:rsidR="00632BB3" w:rsidRPr="00B558BB">
        <w:rPr>
          <w:rFonts w:ascii="Cambria" w:hAnsi="Cambria" w:cs="Arial"/>
          <w:sz w:val="22"/>
          <w:szCs w:val="22"/>
        </w:rPr>
        <w:t xml:space="preserve"> </w:t>
      </w:r>
      <w:r w:rsidRPr="00B558BB">
        <w:rPr>
          <w:rFonts w:ascii="Cambria" w:hAnsi="Cambria" w:cs="Arial"/>
          <w:sz w:val="22"/>
          <w:szCs w:val="22"/>
        </w:rPr>
        <w:t xml:space="preserve">Strategija zapošljavanja posebna pažnja je bila posvećena </w:t>
      </w:r>
      <w:r w:rsidR="000A6B11">
        <w:rPr>
          <w:rFonts w:ascii="Cambria" w:hAnsi="Cambria" w:cs="Arial"/>
          <w:sz w:val="22"/>
          <w:szCs w:val="22"/>
        </w:rPr>
        <w:t xml:space="preserve">i </w:t>
      </w:r>
      <w:r w:rsidRPr="00B558BB">
        <w:rPr>
          <w:rFonts w:ascii="Cambria" w:hAnsi="Cambria" w:cs="Arial"/>
          <w:sz w:val="22"/>
          <w:szCs w:val="22"/>
        </w:rPr>
        <w:t>u</w:t>
      </w:r>
      <w:r w:rsidRPr="00B558BB">
        <w:rPr>
          <w:rFonts w:ascii="Cambria" w:eastAsia="Times New Roman" w:hAnsi="Cambria" w:cs="Arial"/>
          <w:i/>
          <w:sz w:val="22"/>
          <w:szCs w:val="22"/>
          <w:lang w:eastAsia="tr-TR"/>
        </w:rPr>
        <w:t xml:space="preserve">saglašenosti </w:t>
      </w:r>
      <w:r w:rsidRPr="00B558BB">
        <w:rPr>
          <w:rFonts w:ascii="Cambria" w:eastAsia="Times New Roman" w:hAnsi="Cambria" w:cs="Arial"/>
          <w:iCs/>
          <w:sz w:val="22"/>
          <w:szCs w:val="22"/>
          <w:lang w:eastAsia="tr-TR"/>
        </w:rPr>
        <w:t xml:space="preserve">prioriteta </w:t>
      </w:r>
      <w:r w:rsidR="000A6B11" w:rsidRPr="00B558BB">
        <w:rPr>
          <w:rFonts w:ascii="Cambria" w:eastAsia="Times New Roman" w:hAnsi="Cambria" w:cs="Arial"/>
          <w:iCs/>
          <w:sz w:val="22"/>
          <w:szCs w:val="22"/>
          <w:lang w:eastAsia="tr-TR"/>
        </w:rPr>
        <w:t>i</w:t>
      </w:r>
      <w:r w:rsidRPr="00B558BB">
        <w:rPr>
          <w:rFonts w:ascii="Cambria" w:eastAsia="Times New Roman" w:hAnsi="Cambria" w:cs="Arial"/>
          <w:iCs/>
          <w:sz w:val="22"/>
          <w:szCs w:val="22"/>
          <w:lang w:eastAsia="tr-TR"/>
        </w:rPr>
        <w:t xml:space="preserve"> ciljeva opštinskih strategija zapošljavanja i razvoja ljudskih resursa sa </w:t>
      </w:r>
      <w:r w:rsidRPr="00B558BB">
        <w:rPr>
          <w:rFonts w:ascii="Cambria" w:hAnsi="Cambria" w:cs="Arial"/>
          <w:iCs/>
          <w:sz w:val="22"/>
          <w:szCs w:val="22"/>
        </w:rPr>
        <w:t>nacionalnim strateškim okvirom tj.</w:t>
      </w:r>
      <w:r w:rsidRPr="00B558BB">
        <w:rPr>
          <w:rFonts w:ascii="Cambria" w:hAnsi="Cambria" w:cs="Arial"/>
          <w:sz w:val="22"/>
          <w:szCs w:val="22"/>
        </w:rPr>
        <w:t xml:space="preserve"> Nacionalnom strategijom zapošljavanja i razvoja lju</w:t>
      </w:r>
      <w:r w:rsidR="00A8165B" w:rsidRPr="00B558BB">
        <w:rPr>
          <w:rFonts w:ascii="Cambria" w:hAnsi="Cambria" w:cs="Arial"/>
          <w:sz w:val="22"/>
          <w:szCs w:val="22"/>
        </w:rPr>
        <w:t>d</w:t>
      </w:r>
      <w:r w:rsidRPr="00B558BB">
        <w:rPr>
          <w:rFonts w:ascii="Cambria" w:hAnsi="Cambria" w:cs="Arial"/>
          <w:sz w:val="22"/>
          <w:szCs w:val="22"/>
        </w:rPr>
        <w:t xml:space="preserve">skih resursa 2016-2020, kao  i drugim relevantnim strateškim dokumentima Crne Gore koji su vezani za zapošljavanje, obrazovanje i socijalnu isključenost: Strategija za socijalnu inkluziju Roma i Egipćana u Crnoj Gori 2016-2020, Strategija regionalnog razvoja Crne Gore 2014-2020, Strategija razvoja sistema socijalne i dječje zaštite za period od 2018. do 2022. godine, Strategija za integraciju lica sa invaliditetom u Crnoj Gori za period 2016-2020, </w:t>
      </w:r>
      <w:r w:rsidRPr="00B558BB">
        <w:rPr>
          <w:rFonts w:ascii="Cambria" w:hAnsi="Cambria"/>
          <w:sz w:val="22"/>
          <w:szCs w:val="22"/>
        </w:rPr>
        <w:t>Strategija obrazovanja odraslih Crne Gore 2015-2025</w:t>
      </w:r>
      <w:r w:rsidR="00B558BB" w:rsidRPr="00B558BB">
        <w:rPr>
          <w:rFonts w:ascii="Cambria" w:hAnsi="Cambria"/>
          <w:sz w:val="22"/>
          <w:szCs w:val="22"/>
        </w:rPr>
        <w:t xml:space="preserve">, </w:t>
      </w:r>
      <w:r w:rsidR="00B558BB" w:rsidRPr="00B558BB">
        <w:rPr>
          <w:rFonts w:ascii="Cambria" w:hAnsi="Cambria"/>
          <w:sz w:val="22"/>
          <w:szCs w:val="22"/>
          <w:lang w:val="sl-SI"/>
        </w:rPr>
        <w:t>Strategija pametne specijalizacije Crne gore 2019-2024</w:t>
      </w:r>
      <w:r w:rsidR="00FD1AF9">
        <w:rPr>
          <w:rFonts w:ascii="Cambria" w:hAnsi="Cambria"/>
          <w:sz w:val="22"/>
          <w:szCs w:val="22"/>
          <w:lang w:val="sl-SI"/>
        </w:rPr>
        <w:t>.</w:t>
      </w:r>
      <w:r w:rsidR="00B558BB" w:rsidRPr="00B558BB">
        <w:rPr>
          <w:rFonts w:ascii="Cambria" w:hAnsi="Cambria"/>
          <w:sz w:val="22"/>
          <w:szCs w:val="22"/>
          <w:lang w:val="sl-SI"/>
        </w:rPr>
        <w:t xml:space="preserve"> i</w:t>
      </w:r>
      <w:r w:rsidRPr="00B558BB">
        <w:rPr>
          <w:rFonts w:ascii="Cambria" w:hAnsi="Cambria" w:cs="Arial"/>
          <w:sz w:val="22"/>
          <w:szCs w:val="22"/>
        </w:rPr>
        <w:t xml:space="preserve">  Nacionalna strategija održivog razvoja Crne Gore do 2030.</w:t>
      </w:r>
    </w:p>
    <w:p w:rsidR="00EF77D6" w:rsidRPr="00EF77D6" w:rsidRDefault="00EF77D6" w:rsidP="00DE28B8">
      <w:pPr>
        <w:jc w:val="both"/>
        <w:rPr>
          <w:rFonts w:cs="Arial"/>
          <w:sz w:val="22"/>
          <w:szCs w:val="22"/>
        </w:rPr>
      </w:pPr>
    </w:p>
    <w:p w:rsidR="00EF77D6" w:rsidRPr="00EF77D6" w:rsidRDefault="00EF77D6" w:rsidP="00DE28B8">
      <w:pPr>
        <w:jc w:val="both"/>
        <w:rPr>
          <w:rFonts w:cs="Arial"/>
          <w:sz w:val="22"/>
          <w:szCs w:val="22"/>
        </w:rPr>
      </w:pPr>
      <w:r w:rsidRPr="00EF77D6">
        <w:rPr>
          <w:rFonts w:cs="Arial"/>
          <w:sz w:val="22"/>
          <w:szCs w:val="22"/>
        </w:rPr>
        <w:t xml:space="preserve">Prioriteti Nacionalne strategije zapošljavanja i razvoja ljudskih resursa 2016-2020. prepoznati su tokom procesa izrade lokalne strategije zapošljavanja kao relevantni za lokalno tržište rada </w:t>
      </w:r>
      <w:r w:rsidR="00283ACC">
        <w:rPr>
          <w:rFonts w:cs="Arial"/>
          <w:sz w:val="22"/>
          <w:szCs w:val="22"/>
        </w:rPr>
        <w:t>Glavnog grada</w:t>
      </w:r>
      <w:r w:rsidRPr="00EF77D6">
        <w:rPr>
          <w:rFonts w:cs="Arial"/>
          <w:sz w:val="22"/>
          <w:szCs w:val="22"/>
        </w:rPr>
        <w:t>:</w:t>
      </w:r>
    </w:p>
    <w:p w:rsidR="00E61197" w:rsidRDefault="00E61197" w:rsidP="00DE28B8">
      <w:pPr>
        <w:jc w:val="both"/>
        <w:rPr>
          <w:rFonts w:cs="Arial"/>
          <w:sz w:val="22"/>
          <w:szCs w:val="22"/>
        </w:rPr>
      </w:pPr>
    </w:p>
    <w:p w:rsidR="00EF77D6" w:rsidRPr="00EF77D6" w:rsidRDefault="00EF77D6" w:rsidP="00DE28B8">
      <w:pPr>
        <w:jc w:val="both"/>
        <w:rPr>
          <w:rFonts w:cs="Arial"/>
          <w:sz w:val="22"/>
          <w:szCs w:val="22"/>
        </w:rPr>
      </w:pPr>
      <w:r w:rsidRPr="00EF77D6">
        <w:rPr>
          <w:rFonts w:cs="Arial"/>
          <w:sz w:val="22"/>
          <w:szCs w:val="22"/>
        </w:rPr>
        <w:t>PRIORITET 1: Povećanje zaposlenosti. Smanjenje stope nezaposlenosti</w:t>
      </w:r>
      <w:r w:rsidR="000A6B11">
        <w:rPr>
          <w:rFonts w:cs="Arial"/>
          <w:sz w:val="22"/>
          <w:szCs w:val="22"/>
        </w:rPr>
        <w:t>;</w:t>
      </w:r>
    </w:p>
    <w:p w:rsidR="00EF77D6" w:rsidRPr="00EF77D6" w:rsidRDefault="00EF77D6" w:rsidP="00DE28B8">
      <w:pPr>
        <w:rPr>
          <w:rFonts w:cs="Arial"/>
          <w:sz w:val="22"/>
          <w:szCs w:val="22"/>
        </w:rPr>
      </w:pPr>
      <w:r w:rsidRPr="00EF77D6">
        <w:rPr>
          <w:rFonts w:cs="Arial"/>
          <w:sz w:val="22"/>
          <w:szCs w:val="22"/>
        </w:rPr>
        <w:t>PRIORITET 2: Efikasno funkcionisanje tržišta rada</w:t>
      </w:r>
      <w:r w:rsidR="000A6B11">
        <w:rPr>
          <w:rFonts w:cs="Arial"/>
          <w:sz w:val="22"/>
          <w:szCs w:val="22"/>
        </w:rPr>
        <w:t>;</w:t>
      </w:r>
    </w:p>
    <w:p w:rsidR="00EF77D6" w:rsidRPr="00EF77D6" w:rsidRDefault="00EF77D6" w:rsidP="00DE28B8">
      <w:pPr>
        <w:rPr>
          <w:rFonts w:cs="Arial"/>
          <w:sz w:val="22"/>
          <w:szCs w:val="22"/>
        </w:rPr>
      </w:pPr>
      <w:r w:rsidRPr="00EF77D6">
        <w:rPr>
          <w:rFonts w:cs="Arial"/>
          <w:sz w:val="22"/>
          <w:szCs w:val="22"/>
        </w:rPr>
        <w:t>PRIORITET 3: Unapređenje kvalifikacija i kompetencija usklađenih sa potrebama tržišta rada</w:t>
      </w:r>
      <w:r w:rsidR="000A6B11">
        <w:rPr>
          <w:rFonts w:cs="Arial"/>
          <w:sz w:val="22"/>
          <w:szCs w:val="22"/>
        </w:rPr>
        <w:t>;</w:t>
      </w:r>
    </w:p>
    <w:p w:rsidR="00EF77D6" w:rsidRPr="00EF77D6" w:rsidRDefault="00EF77D6" w:rsidP="00DE28B8">
      <w:pPr>
        <w:rPr>
          <w:rFonts w:cs="Arial"/>
          <w:sz w:val="22"/>
          <w:szCs w:val="22"/>
        </w:rPr>
      </w:pPr>
      <w:r w:rsidRPr="00EF77D6">
        <w:rPr>
          <w:rFonts w:cs="Arial"/>
          <w:sz w:val="22"/>
          <w:szCs w:val="22"/>
        </w:rPr>
        <w:t>PRIORITET 4: Promovisanje socijalne inkluzije i smanjenje siromaštva</w:t>
      </w:r>
      <w:r w:rsidR="000A6B11">
        <w:rPr>
          <w:rFonts w:cs="Arial"/>
          <w:sz w:val="22"/>
          <w:szCs w:val="22"/>
        </w:rPr>
        <w:t>.</w:t>
      </w:r>
      <w:r w:rsidRPr="00EF77D6">
        <w:rPr>
          <w:rFonts w:cs="Arial"/>
          <w:sz w:val="22"/>
          <w:szCs w:val="22"/>
        </w:rPr>
        <w:t xml:space="preserve"> </w:t>
      </w:r>
    </w:p>
    <w:p w:rsidR="00EF77D6" w:rsidRPr="00EF77D6" w:rsidRDefault="00EF77D6" w:rsidP="00DE28B8">
      <w:pPr>
        <w:rPr>
          <w:rFonts w:cs="Arial"/>
          <w:sz w:val="22"/>
          <w:szCs w:val="22"/>
        </w:rPr>
      </w:pPr>
    </w:p>
    <w:p w:rsidR="00EF77D6" w:rsidRPr="00EF77D6" w:rsidRDefault="00EF77D6" w:rsidP="000A6B11">
      <w:pPr>
        <w:shd w:val="clear" w:color="auto" w:fill="FFFFFF" w:themeFill="background1"/>
        <w:jc w:val="both"/>
        <w:rPr>
          <w:rFonts w:eastAsia="Times New Roman" w:cs="Arial"/>
          <w:sz w:val="22"/>
          <w:szCs w:val="22"/>
          <w:shd w:val="clear" w:color="auto" w:fill="FFFFFF" w:themeFill="background1"/>
          <w:lang w:eastAsia="sl-SI"/>
        </w:rPr>
      </w:pPr>
      <w:r w:rsidRPr="00EF77D6">
        <w:rPr>
          <w:rFonts w:cs="Arial"/>
          <w:sz w:val="22"/>
          <w:szCs w:val="22"/>
        </w:rPr>
        <w:t xml:space="preserve">U procesu izrade lokalne strategije zapošljavanja velika pažnja posvećena je pitanjima znanja, vještina i kompetencija koje su potrebne na tržištu rada, a takođe i izazovima u pogledu povećanja </w:t>
      </w:r>
      <w:r w:rsidRPr="00EF77D6">
        <w:rPr>
          <w:rFonts w:cs="Arial"/>
          <w:sz w:val="22"/>
          <w:szCs w:val="22"/>
        </w:rPr>
        <w:lastRenderedPageBreak/>
        <w:t xml:space="preserve">socijalne inkluzije i aktivacije ranjivih grupa. Naime, u Crnoj Gori prema procjeni Evropske komisije </w:t>
      </w:r>
      <w:r w:rsidRPr="00EF77D6">
        <w:rPr>
          <w:rFonts w:cs="Arial"/>
          <w:i/>
          <w:iCs/>
          <w:sz w:val="22"/>
          <w:szCs w:val="22"/>
          <w:shd w:val="clear" w:color="auto" w:fill="FFFFFF" w:themeFill="background1"/>
        </w:rPr>
        <w:t>„još uvijek ne postoji dovoljna efikasnost i pokrivenost aktivnih politika tržišta rada koje bi trebalo da postoje kako bi se pomoglo tražiocima posla u pronalaženju održivog zaposlenja, sa posebnim fokusom na prekvalifikaciju i usavršavanje</w:t>
      </w:r>
      <w:r w:rsidRPr="00EF77D6">
        <w:rPr>
          <w:rFonts w:cs="Arial"/>
          <w:sz w:val="22"/>
          <w:szCs w:val="22"/>
          <w:shd w:val="clear" w:color="auto" w:fill="FFFFFF" w:themeFill="background1"/>
        </w:rPr>
        <w:t>”, a takođe je potrebno “</w:t>
      </w:r>
      <w:r w:rsidRPr="00EF77D6">
        <w:rPr>
          <w:rFonts w:eastAsia="Times New Roman" w:cs="Arial"/>
          <w:i/>
          <w:iCs/>
          <w:sz w:val="22"/>
          <w:szCs w:val="22"/>
          <w:shd w:val="clear" w:color="auto" w:fill="FFFFFF" w:themeFill="background1"/>
          <w:lang w:eastAsia="sl-SI"/>
        </w:rPr>
        <w:t>jačanje aktivacije zapošljavanja izgradnjom jačih veza između zapošljavanja i socijalnih usluga, kao i veza između stručnog i visokog obrazovanja</w:t>
      </w:r>
      <w:r w:rsidRPr="00EF77D6">
        <w:rPr>
          <w:rFonts w:eastAsia="Times New Roman" w:cs="Arial"/>
          <w:sz w:val="22"/>
          <w:szCs w:val="22"/>
          <w:shd w:val="clear" w:color="auto" w:fill="FFFFFF" w:themeFill="background1"/>
          <w:lang w:eastAsia="sl-SI"/>
        </w:rPr>
        <w:t>«.</w:t>
      </w:r>
      <w:r w:rsidRPr="00EF77D6">
        <w:rPr>
          <w:rStyle w:val="FootnoteReference"/>
          <w:rFonts w:eastAsia="Times New Roman" w:cs="Arial"/>
          <w:sz w:val="22"/>
          <w:szCs w:val="22"/>
          <w:shd w:val="clear" w:color="auto" w:fill="FFFFFF" w:themeFill="background1"/>
          <w:lang w:eastAsia="sl-SI"/>
        </w:rPr>
        <w:footnoteReference w:id="1"/>
      </w:r>
      <w:r w:rsidRPr="00EF77D6">
        <w:rPr>
          <w:rFonts w:eastAsia="Times New Roman" w:cs="Arial"/>
          <w:sz w:val="22"/>
          <w:szCs w:val="22"/>
          <w:shd w:val="clear" w:color="auto" w:fill="FFFFFF" w:themeFill="background1"/>
          <w:lang w:eastAsia="sl-SI"/>
        </w:rPr>
        <w:t xml:space="preserve"> </w:t>
      </w:r>
    </w:p>
    <w:p w:rsidR="00EF77D6" w:rsidRPr="00EF77D6" w:rsidRDefault="00EF77D6" w:rsidP="00DE28B8">
      <w:pPr>
        <w:shd w:val="clear" w:color="auto" w:fill="FFFFFF" w:themeFill="background1"/>
        <w:rPr>
          <w:rFonts w:eastAsia="Times New Roman" w:cs="Arial"/>
          <w:sz w:val="22"/>
          <w:szCs w:val="22"/>
          <w:shd w:val="clear" w:color="auto" w:fill="FFFFFF" w:themeFill="background1"/>
          <w:lang w:eastAsia="sl-SI"/>
        </w:rPr>
      </w:pPr>
    </w:p>
    <w:p w:rsidR="00EF77D6" w:rsidRPr="00EF77D6" w:rsidRDefault="00EF77D6" w:rsidP="003462C3">
      <w:pPr>
        <w:jc w:val="both"/>
        <w:rPr>
          <w:rFonts w:cs="Arial"/>
          <w:sz w:val="22"/>
          <w:szCs w:val="22"/>
        </w:rPr>
      </w:pPr>
      <w:r w:rsidRPr="00EF77D6">
        <w:rPr>
          <w:rFonts w:cs="Arial"/>
          <w:sz w:val="22"/>
          <w:szCs w:val="22"/>
        </w:rPr>
        <w:t xml:space="preserve">Prilikom izrade dokumenta,  u obzir je uzet i strateški okvir politike zapošljavanja Evropske unije, naročito Evropski stub socijalnih prava i njegovih 20 ključnih načela svrstanih u tri kategorije: (i) Jednake mogućnosti i pristup tržištu rada, </w:t>
      </w:r>
      <w:r w:rsidRPr="00EF77D6">
        <w:rPr>
          <w:rFonts w:cs="Arial"/>
          <w:sz w:val="22"/>
          <w:szCs w:val="22"/>
          <w:lang w:val="hr-HR"/>
        </w:rPr>
        <w:t>(ii)</w:t>
      </w:r>
      <w:r w:rsidRPr="00EF77D6">
        <w:rPr>
          <w:rFonts w:eastAsia="Cambria" w:cs="Arial"/>
          <w:color w:val="000000" w:themeColor="text1"/>
          <w:kern w:val="24"/>
          <w:sz w:val="22"/>
          <w:szCs w:val="22"/>
          <w:lang w:eastAsia="sl-SI"/>
        </w:rPr>
        <w:t xml:space="preserve"> </w:t>
      </w:r>
      <w:r w:rsidRPr="00EF77D6">
        <w:rPr>
          <w:rFonts w:cs="Arial"/>
          <w:sz w:val="22"/>
          <w:szCs w:val="22"/>
        </w:rPr>
        <w:t xml:space="preserve">Pravedni uslovi rada i (iii) Socijalna zaštita i inkluzija.  </w:t>
      </w:r>
    </w:p>
    <w:p w:rsidR="00EF77D6" w:rsidRPr="00EF77D6" w:rsidRDefault="00EF77D6" w:rsidP="00DE28B8">
      <w:pPr>
        <w:rPr>
          <w:rFonts w:cs="Arial"/>
          <w:sz w:val="22"/>
          <w:szCs w:val="22"/>
        </w:rPr>
      </w:pPr>
    </w:p>
    <w:p w:rsidR="00A169C8" w:rsidRPr="0086472B" w:rsidRDefault="00EF77D6" w:rsidP="00DE28B8">
      <w:pPr>
        <w:jc w:val="both"/>
        <w:rPr>
          <w:b/>
          <w:bCs/>
          <w:sz w:val="22"/>
          <w:szCs w:val="22"/>
        </w:rPr>
      </w:pPr>
      <w:r w:rsidRPr="00EF77D6">
        <w:rPr>
          <w:rFonts w:cs="Arial"/>
          <w:sz w:val="22"/>
          <w:szCs w:val="22"/>
          <w:lang w:val="it-IT"/>
        </w:rPr>
        <w:t xml:space="preserve">Lokalna politika zapošljavanja treba prvenstveno da doprinese daljem socio-ekonomskom razvoju. </w:t>
      </w:r>
      <w:r w:rsidRPr="00EF77D6">
        <w:rPr>
          <w:sz w:val="22"/>
          <w:szCs w:val="22"/>
        </w:rPr>
        <w:t xml:space="preserve">Strateškim </w:t>
      </w:r>
      <w:r w:rsidRPr="0086472B">
        <w:rPr>
          <w:sz w:val="22"/>
          <w:szCs w:val="22"/>
        </w:rPr>
        <w:t xml:space="preserve">planom razvoja </w:t>
      </w:r>
      <w:r w:rsidR="00283ACC">
        <w:rPr>
          <w:sz w:val="22"/>
          <w:szCs w:val="22"/>
        </w:rPr>
        <w:t>Glavnog grada Podgorica</w:t>
      </w:r>
      <w:r w:rsidR="0086472B" w:rsidRPr="0086472B">
        <w:rPr>
          <w:sz w:val="22"/>
          <w:szCs w:val="22"/>
        </w:rPr>
        <w:t xml:space="preserve"> </w:t>
      </w:r>
      <w:r w:rsidRPr="0086472B">
        <w:rPr>
          <w:sz w:val="22"/>
          <w:szCs w:val="22"/>
        </w:rPr>
        <w:t>2020</w:t>
      </w:r>
      <w:r w:rsidR="0086472B" w:rsidRPr="0086472B">
        <w:rPr>
          <w:sz w:val="22"/>
          <w:szCs w:val="22"/>
        </w:rPr>
        <w:t>-2025</w:t>
      </w:r>
      <w:r w:rsidR="0049480F">
        <w:rPr>
          <w:sz w:val="22"/>
          <w:szCs w:val="22"/>
        </w:rPr>
        <w:t>.</w:t>
      </w:r>
      <w:r w:rsidRPr="0086472B">
        <w:rPr>
          <w:sz w:val="22"/>
          <w:szCs w:val="22"/>
        </w:rPr>
        <w:t xml:space="preserve"> </w:t>
      </w:r>
      <w:r w:rsidR="007955B7">
        <w:rPr>
          <w:sz w:val="22"/>
          <w:szCs w:val="22"/>
        </w:rPr>
        <w:t>definisan</w:t>
      </w:r>
      <w:r w:rsidR="007955B7" w:rsidRPr="0086472B">
        <w:rPr>
          <w:sz w:val="22"/>
          <w:szCs w:val="22"/>
        </w:rPr>
        <w:t xml:space="preserve"> </w:t>
      </w:r>
      <w:r w:rsidR="0086472B" w:rsidRPr="0086472B">
        <w:rPr>
          <w:sz w:val="22"/>
          <w:szCs w:val="22"/>
        </w:rPr>
        <w:t>je sljedeći opšti cilj</w:t>
      </w:r>
      <w:r w:rsidRPr="0086472B">
        <w:rPr>
          <w:sz w:val="22"/>
          <w:szCs w:val="22"/>
        </w:rPr>
        <w:t xml:space="preserve"> </w:t>
      </w:r>
      <w:r w:rsidR="00A169C8" w:rsidRPr="0086472B">
        <w:rPr>
          <w:sz w:val="22"/>
          <w:szCs w:val="22"/>
        </w:rPr>
        <w:t>“</w:t>
      </w:r>
      <w:r w:rsidR="00283ACC" w:rsidRPr="00283ACC">
        <w:rPr>
          <w:color w:val="000000" w:themeColor="text1"/>
          <w:sz w:val="22"/>
          <w:szCs w:val="22"/>
          <w:lang w:val="it-IT"/>
        </w:rPr>
        <w:t xml:space="preserve">bolji kvalitet života građana </w:t>
      </w:r>
      <w:r w:rsidR="00283ACC">
        <w:rPr>
          <w:color w:val="000000" w:themeColor="text1"/>
          <w:sz w:val="22"/>
          <w:szCs w:val="22"/>
          <w:lang w:val="it-IT"/>
        </w:rPr>
        <w:t>P</w:t>
      </w:r>
      <w:r w:rsidR="00283ACC" w:rsidRPr="00283ACC">
        <w:rPr>
          <w:color w:val="000000" w:themeColor="text1"/>
          <w:sz w:val="22"/>
          <w:szCs w:val="22"/>
          <w:lang w:val="it-IT"/>
        </w:rPr>
        <w:t>odgorice</w:t>
      </w:r>
      <w:r w:rsidR="00283ACC" w:rsidRPr="0086472B">
        <w:rPr>
          <w:sz w:val="22"/>
          <w:szCs w:val="22"/>
        </w:rPr>
        <w:t xml:space="preserve"> </w:t>
      </w:r>
      <w:r w:rsidR="00A169C8" w:rsidRPr="0086472B">
        <w:rPr>
          <w:sz w:val="22"/>
          <w:szCs w:val="22"/>
        </w:rPr>
        <w:t>“</w:t>
      </w:r>
      <w:r w:rsidR="00D6234A" w:rsidRPr="0086472B">
        <w:rPr>
          <w:sz w:val="22"/>
          <w:szCs w:val="22"/>
        </w:rPr>
        <w:t>.</w:t>
      </w:r>
      <w:r w:rsidR="002D2277">
        <w:rPr>
          <w:sz w:val="22"/>
          <w:szCs w:val="22"/>
        </w:rPr>
        <w:t xml:space="preserve">  Strateški ciljevi </w:t>
      </w:r>
      <w:r w:rsidR="00477BEB">
        <w:rPr>
          <w:sz w:val="22"/>
          <w:szCs w:val="22"/>
        </w:rPr>
        <w:t>Glavnog grada Podgorica</w:t>
      </w:r>
      <w:r w:rsidR="002D2277">
        <w:rPr>
          <w:sz w:val="22"/>
          <w:szCs w:val="22"/>
        </w:rPr>
        <w:t xml:space="preserve"> do 2025. </w:t>
      </w:r>
      <w:r w:rsidR="007955B7">
        <w:rPr>
          <w:sz w:val="22"/>
          <w:szCs w:val="22"/>
        </w:rPr>
        <w:t>g</w:t>
      </w:r>
      <w:r w:rsidR="00DE28B8">
        <w:rPr>
          <w:sz w:val="22"/>
          <w:szCs w:val="22"/>
        </w:rPr>
        <w:t>odine</w:t>
      </w:r>
      <w:r w:rsidR="007955B7">
        <w:rPr>
          <w:sz w:val="22"/>
          <w:szCs w:val="22"/>
        </w:rPr>
        <w:t xml:space="preserve"> su</w:t>
      </w:r>
      <w:r w:rsidR="002D2277">
        <w:rPr>
          <w:sz w:val="22"/>
          <w:szCs w:val="22"/>
        </w:rPr>
        <w:t>:</w:t>
      </w:r>
    </w:p>
    <w:p w:rsidR="00A169C8" w:rsidRDefault="00A169C8" w:rsidP="00DE28B8">
      <w:pPr>
        <w:pStyle w:val="ListParagraph"/>
        <w:ind w:left="0"/>
        <w:rPr>
          <w:b/>
          <w:bCs/>
          <w:sz w:val="22"/>
          <w:szCs w:val="22"/>
        </w:rPr>
      </w:pPr>
    </w:p>
    <w:tbl>
      <w:tblPr>
        <w:tblStyle w:val="TableGrid"/>
        <w:tblW w:w="8614"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946"/>
      </w:tblGrid>
      <w:tr w:rsidR="0086472B" w:rsidTr="003462C3">
        <w:tc>
          <w:tcPr>
            <w:tcW w:w="1668" w:type="dxa"/>
          </w:tcPr>
          <w:p w:rsidR="0086472B" w:rsidRPr="00283ACC" w:rsidRDefault="0086472B" w:rsidP="00DE28B8">
            <w:pPr>
              <w:pStyle w:val="ListParagraph"/>
              <w:ind w:left="0"/>
              <w:rPr>
                <w:sz w:val="22"/>
                <w:szCs w:val="22"/>
              </w:rPr>
            </w:pPr>
            <w:r w:rsidRPr="00283ACC">
              <w:rPr>
                <w:sz w:val="22"/>
                <w:szCs w:val="22"/>
              </w:rPr>
              <w:t>Strateški cilj 1</w:t>
            </w:r>
            <w:r w:rsidR="007955B7">
              <w:rPr>
                <w:sz w:val="22"/>
                <w:szCs w:val="22"/>
              </w:rPr>
              <w:t>:</w:t>
            </w:r>
          </w:p>
        </w:tc>
        <w:tc>
          <w:tcPr>
            <w:tcW w:w="6946" w:type="dxa"/>
          </w:tcPr>
          <w:p w:rsidR="00283ACC" w:rsidRPr="00283ACC" w:rsidRDefault="00283ACC" w:rsidP="007955B7">
            <w:pPr>
              <w:rPr>
                <w:sz w:val="22"/>
                <w:szCs w:val="22"/>
                <w:lang w:val="sr-Latn-CS"/>
              </w:rPr>
            </w:pPr>
            <w:r w:rsidRPr="00283ACC">
              <w:rPr>
                <w:sz w:val="22"/>
                <w:szCs w:val="22"/>
                <w:lang w:val="sr-Latn-CS"/>
              </w:rPr>
              <w:t xml:space="preserve">Dalji razvoj i unapređenje </w:t>
            </w:r>
            <w:r w:rsidR="00580DC5">
              <w:rPr>
                <w:sz w:val="22"/>
                <w:szCs w:val="22"/>
                <w:lang w:val="sr-Latn-CS"/>
              </w:rPr>
              <w:t xml:space="preserve">komunalne </w:t>
            </w:r>
            <w:r w:rsidRPr="00283ACC">
              <w:rPr>
                <w:sz w:val="22"/>
                <w:szCs w:val="22"/>
                <w:lang w:val="sr-Latn-CS"/>
              </w:rPr>
              <w:t>infrastrukture i djelatnosti</w:t>
            </w:r>
            <w:r w:rsidR="006E3A6F">
              <w:rPr>
                <w:sz w:val="22"/>
                <w:szCs w:val="22"/>
                <w:lang w:val="sr-Latn-CS"/>
              </w:rPr>
              <w:t>;</w:t>
            </w:r>
          </w:p>
          <w:p w:rsidR="0086472B" w:rsidRPr="00283ACC" w:rsidRDefault="0086472B" w:rsidP="00DE28B8">
            <w:pPr>
              <w:pStyle w:val="ListParagraph"/>
              <w:ind w:left="0"/>
              <w:rPr>
                <w:sz w:val="22"/>
                <w:szCs w:val="22"/>
              </w:rPr>
            </w:pPr>
          </w:p>
        </w:tc>
      </w:tr>
      <w:tr w:rsidR="0086472B" w:rsidTr="003462C3">
        <w:tc>
          <w:tcPr>
            <w:tcW w:w="1668" w:type="dxa"/>
          </w:tcPr>
          <w:p w:rsidR="0086472B" w:rsidRPr="00283ACC" w:rsidRDefault="0086472B" w:rsidP="00DE28B8">
            <w:pPr>
              <w:pStyle w:val="ListParagraph"/>
              <w:ind w:left="0"/>
              <w:rPr>
                <w:sz w:val="22"/>
                <w:szCs w:val="22"/>
              </w:rPr>
            </w:pPr>
            <w:r w:rsidRPr="00283ACC">
              <w:rPr>
                <w:sz w:val="22"/>
                <w:szCs w:val="22"/>
              </w:rPr>
              <w:t>Strateški cilj 2</w:t>
            </w:r>
            <w:r w:rsidR="007955B7">
              <w:rPr>
                <w:sz w:val="22"/>
                <w:szCs w:val="22"/>
              </w:rPr>
              <w:t>:</w:t>
            </w:r>
          </w:p>
        </w:tc>
        <w:tc>
          <w:tcPr>
            <w:tcW w:w="6946" w:type="dxa"/>
          </w:tcPr>
          <w:p w:rsidR="00283ACC" w:rsidRPr="00283ACC" w:rsidRDefault="00283ACC" w:rsidP="00283ACC">
            <w:pPr>
              <w:rPr>
                <w:sz w:val="22"/>
                <w:szCs w:val="22"/>
                <w:lang w:val="sr-Latn-CS"/>
              </w:rPr>
            </w:pPr>
            <w:r w:rsidRPr="00283ACC">
              <w:rPr>
                <w:sz w:val="22"/>
                <w:szCs w:val="22"/>
                <w:lang w:val="sr-Latn-CS"/>
              </w:rPr>
              <w:t>Jačanje konkurentnosti privrede i dalje unapređenje biznis ambijenta</w:t>
            </w:r>
            <w:r w:rsidR="006E3A6F">
              <w:rPr>
                <w:sz w:val="22"/>
                <w:szCs w:val="22"/>
                <w:lang w:val="sr-Latn-CS"/>
              </w:rPr>
              <w:t>;</w:t>
            </w:r>
          </w:p>
          <w:p w:rsidR="0086472B" w:rsidRPr="00283ACC" w:rsidRDefault="0086472B" w:rsidP="00DE28B8">
            <w:pPr>
              <w:pStyle w:val="ListParagraph"/>
              <w:ind w:left="0"/>
              <w:rPr>
                <w:sz w:val="22"/>
                <w:szCs w:val="22"/>
              </w:rPr>
            </w:pPr>
          </w:p>
        </w:tc>
      </w:tr>
      <w:tr w:rsidR="0086472B" w:rsidTr="003462C3">
        <w:tc>
          <w:tcPr>
            <w:tcW w:w="1668" w:type="dxa"/>
          </w:tcPr>
          <w:p w:rsidR="0086472B" w:rsidRPr="00283ACC" w:rsidRDefault="0086472B" w:rsidP="00DE28B8">
            <w:pPr>
              <w:pStyle w:val="ListParagraph"/>
              <w:ind w:left="0"/>
              <w:rPr>
                <w:sz w:val="22"/>
                <w:szCs w:val="22"/>
              </w:rPr>
            </w:pPr>
            <w:r w:rsidRPr="00283ACC">
              <w:rPr>
                <w:sz w:val="22"/>
                <w:szCs w:val="22"/>
              </w:rPr>
              <w:t>Strateški cilj 3</w:t>
            </w:r>
            <w:r w:rsidR="007955B7">
              <w:rPr>
                <w:sz w:val="22"/>
                <w:szCs w:val="22"/>
              </w:rPr>
              <w:t>:</w:t>
            </w:r>
          </w:p>
        </w:tc>
        <w:tc>
          <w:tcPr>
            <w:tcW w:w="6946" w:type="dxa"/>
          </w:tcPr>
          <w:p w:rsidR="00283ACC" w:rsidRPr="00283ACC" w:rsidRDefault="00283ACC" w:rsidP="007955B7">
            <w:pPr>
              <w:rPr>
                <w:sz w:val="22"/>
                <w:szCs w:val="22"/>
                <w:lang w:val="sr-Latn-CS"/>
              </w:rPr>
            </w:pPr>
            <w:r w:rsidRPr="00283ACC">
              <w:rPr>
                <w:sz w:val="22"/>
                <w:szCs w:val="22"/>
                <w:lang w:val="sr-Latn-CS"/>
              </w:rPr>
              <w:t>Razvoj turizma i zaštita životne sredine</w:t>
            </w:r>
            <w:r w:rsidR="006E3A6F">
              <w:rPr>
                <w:sz w:val="22"/>
                <w:szCs w:val="22"/>
                <w:lang w:val="sr-Latn-CS"/>
              </w:rPr>
              <w:t>.</w:t>
            </w:r>
          </w:p>
          <w:p w:rsidR="0086472B" w:rsidRPr="00283ACC" w:rsidRDefault="0086472B" w:rsidP="00DE28B8">
            <w:pPr>
              <w:pStyle w:val="ListParagraph"/>
              <w:ind w:left="0"/>
              <w:rPr>
                <w:sz w:val="22"/>
                <w:szCs w:val="22"/>
              </w:rPr>
            </w:pPr>
          </w:p>
        </w:tc>
      </w:tr>
    </w:tbl>
    <w:p w:rsidR="003462C3" w:rsidRDefault="003462C3" w:rsidP="004C5F2F">
      <w:pPr>
        <w:jc w:val="both"/>
        <w:rPr>
          <w:sz w:val="22"/>
          <w:szCs w:val="22"/>
        </w:rPr>
      </w:pPr>
    </w:p>
    <w:p w:rsidR="004C5F2F" w:rsidRDefault="004C5F2F" w:rsidP="004C5F2F">
      <w:pPr>
        <w:jc w:val="both"/>
        <w:rPr>
          <w:sz w:val="22"/>
          <w:szCs w:val="22"/>
        </w:rPr>
      </w:pPr>
      <w:r>
        <w:rPr>
          <w:sz w:val="22"/>
          <w:szCs w:val="22"/>
        </w:rPr>
        <w:t xml:space="preserve">Glavni grad je 2017. godine donio  </w:t>
      </w:r>
      <w:r w:rsidR="00EE585B">
        <w:rPr>
          <w:sz w:val="22"/>
          <w:szCs w:val="22"/>
        </w:rPr>
        <w:t>lokalni A</w:t>
      </w:r>
      <w:r>
        <w:rPr>
          <w:sz w:val="22"/>
          <w:szCs w:val="22"/>
        </w:rPr>
        <w:t>kcioni plan održivog  razvoja</w:t>
      </w:r>
      <w:r w:rsidR="004916BD">
        <w:rPr>
          <w:sz w:val="22"/>
          <w:szCs w:val="22"/>
        </w:rPr>
        <w:t xml:space="preserve"> i time definisao</w:t>
      </w:r>
      <w:r>
        <w:rPr>
          <w:sz w:val="22"/>
          <w:szCs w:val="22"/>
        </w:rPr>
        <w:t xml:space="preserve"> </w:t>
      </w:r>
      <w:r w:rsidR="004916BD">
        <w:rPr>
          <w:sz w:val="22"/>
          <w:szCs w:val="22"/>
        </w:rPr>
        <w:t>inicijative koje će doprinijeti implementaciji Nacionalne strategije održivog razvoja</w:t>
      </w:r>
      <w:r w:rsidR="004916BD" w:rsidRPr="004916BD">
        <w:rPr>
          <w:sz w:val="22"/>
          <w:szCs w:val="22"/>
        </w:rPr>
        <w:t xml:space="preserve"> do 2030. </w:t>
      </w:r>
      <w:r w:rsidR="004916BD">
        <w:rPr>
          <w:sz w:val="22"/>
          <w:szCs w:val="22"/>
        </w:rPr>
        <w:t>g</w:t>
      </w:r>
      <w:r w:rsidR="004916BD" w:rsidRPr="004916BD">
        <w:rPr>
          <w:sz w:val="22"/>
          <w:szCs w:val="22"/>
        </w:rPr>
        <w:t>odine</w:t>
      </w:r>
      <w:r w:rsidR="004916BD">
        <w:rPr>
          <w:sz w:val="22"/>
          <w:szCs w:val="22"/>
        </w:rPr>
        <w:t xml:space="preserve">. </w:t>
      </w:r>
      <w:r w:rsidR="004916BD" w:rsidRPr="004916BD">
        <w:rPr>
          <w:sz w:val="22"/>
          <w:szCs w:val="22"/>
        </w:rPr>
        <w:t xml:space="preserve"> </w:t>
      </w:r>
      <w:r w:rsidR="004916BD">
        <w:rPr>
          <w:sz w:val="22"/>
          <w:szCs w:val="22"/>
        </w:rPr>
        <w:t>Ovaj dokument među priorit</w:t>
      </w:r>
      <w:r w:rsidR="007831E4">
        <w:rPr>
          <w:sz w:val="22"/>
          <w:szCs w:val="22"/>
        </w:rPr>
        <w:t>et</w:t>
      </w:r>
      <w:r w:rsidR="004916BD">
        <w:rPr>
          <w:sz w:val="22"/>
          <w:szCs w:val="22"/>
        </w:rPr>
        <w:t>ne teme postavlja p</w:t>
      </w:r>
      <w:r w:rsidR="00EE585B">
        <w:rPr>
          <w:sz w:val="22"/>
          <w:szCs w:val="22"/>
        </w:rPr>
        <w:t>ovećanje nivoa konkurentnosti crnogorske ekonomije za održivi razvoj i zelena radna mjesta, a zatim i</w:t>
      </w:r>
      <w:r>
        <w:rPr>
          <w:sz w:val="22"/>
          <w:szCs w:val="22"/>
        </w:rPr>
        <w:t xml:space="preserve">  </w:t>
      </w:r>
      <w:r w:rsidRPr="006C33E0">
        <w:rPr>
          <w:sz w:val="22"/>
          <w:szCs w:val="22"/>
        </w:rPr>
        <w:t>stimulisanje zapošljivosti i socijalne inkluzije marginalizovanih ili grupa pod rizikom od marginalizacije</w:t>
      </w:r>
      <w:r w:rsidR="004916BD">
        <w:rPr>
          <w:sz w:val="22"/>
          <w:szCs w:val="22"/>
        </w:rPr>
        <w:t xml:space="preserve">. Posebna pažnja posvećena je </w:t>
      </w:r>
      <w:r>
        <w:rPr>
          <w:sz w:val="22"/>
          <w:szCs w:val="22"/>
        </w:rPr>
        <w:t xml:space="preserve"> </w:t>
      </w:r>
      <w:r w:rsidR="004916BD">
        <w:rPr>
          <w:sz w:val="22"/>
          <w:szCs w:val="22"/>
        </w:rPr>
        <w:t xml:space="preserve">uključivanju </w:t>
      </w:r>
      <w:r>
        <w:rPr>
          <w:sz w:val="22"/>
          <w:szCs w:val="22"/>
        </w:rPr>
        <w:t>mlad</w:t>
      </w:r>
      <w:r w:rsidR="004916BD">
        <w:rPr>
          <w:sz w:val="22"/>
          <w:szCs w:val="22"/>
        </w:rPr>
        <w:t>ih, žena</w:t>
      </w:r>
      <w:r>
        <w:rPr>
          <w:sz w:val="22"/>
          <w:szCs w:val="22"/>
        </w:rPr>
        <w:t xml:space="preserve">, </w:t>
      </w:r>
      <w:r w:rsidR="00EE585B">
        <w:rPr>
          <w:sz w:val="22"/>
          <w:szCs w:val="22"/>
        </w:rPr>
        <w:t xml:space="preserve">lica sa invaliditetom, </w:t>
      </w:r>
      <w:r>
        <w:rPr>
          <w:sz w:val="22"/>
          <w:szCs w:val="22"/>
        </w:rPr>
        <w:t>Rom</w:t>
      </w:r>
      <w:r w:rsidR="004916BD">
        <w:rPr>
          <w:sz w:val="22"/>
          <w:szCs w:val="22"/>
        </w:rPr>
        <w:t>a</w:t>
      </w:r>
      <w:r>
        <w:rPr>
          <w:sz w:val="22"/>
          <w:szCs w:val="22"/>
        </w:rPr>
        <w:t xml:space="preserve"> i Egipćan</w:t>
      </w:r>
      <w:r w:rsidR="004916BD">
        <w:rPr>
          <w:sz w:val="22"/>
          <w:szCs w:val="22"/>
        </w:rPr>
        <w:t>a</w:t>
      </w:r>
      <w:r>
        <w:rPr>
          <w:sz w:val="22"/>
          <w:szCs w:val="22"/>
        </w:rPr>
        <w:t xml:space="preserve">, ali i </w:t>
      </w:r>
      <w:r w:rsidR="00EE585B">
        <w:rPr>
          <w:sz w:val="22"/>
          <w:szCs w:val="22"/>
        </w:rPr>
        <w:t>drug</w:t>
      </w:r>
      <w:r w:rsidR="004916BD">
        <w:rPr>
          <w:sz w:val="22"/>
          <w:szCs w:val="22"/>
        </w:rPr>
        <w:t>im</w:t>
      </w:r>
      <w:r w:rsidR="00EE585B">
        <w:rPr>
          <w:sz w:val="22"/>
          <w:szCs w:val="22"/>
        </w:rPr>
        <w:t xml:space="preserve"> lic</w:t>
      </w:r>
      <w:r w:rsidR="004916BD">
        <w:rPr>
          <w:sz w:val="22"/>
          <w:szCs w:val="22"/>
        </w:rPr>
        <w:t>im</w:t>
      </w:r>
      <w:r w:rsidR="00EE585B">
        <w:rPr>
          <w:sz w:val="22"/>
          <w:szCs w:val="22"/>
        </w:rPr>
        <w:t>a</w:t>
      </w:r>
      <w:r>
        <w:rPr>
          <w:sz w:val="22"/>
          <w:szCs w:val="22"/>
        </w:rPr>
        <w:t xml:space="preserve"> </w:t>
      </w:r>
      <w:r w:rsidR="00EE585B">
        <w:rPr>
          <w:sz w:val="22"/>
          <w:szCs w:val="22"/>
        </w:rPr>
        <w:t xml:space="preserve"> koja se nalaze </w:t>
      </w:r>
      <w:r>
        <w:rPr>
          <w:sz w:val="22"/>
          <w:szCs w:val="22"/>
        </w:rPr>
        <w:t>u specifi</w:t>
      </w:r>
      <w:r w:rsidR="004916BD">
        <w:rPr>
          <w:sz w:val="22"/>
          <w:szCs w:val="22"/>
        </w:rPr>
        <w:t>čnoj situaciji na tržištu rada (</w:t>
      </w:r>
      <w:r>
        <w:rPr>
          <w:sz w:val="22"/>
          <w:szCs w:val="22"/>
        </w:rPr>
        <w:t>kao što su djeca bez roditeljskog staranja nakon punoljetstva</w:t>
      </w:r>
      <w:r w:rsidR="004916BD">
        <w:rPr>
          <w:sz w:val="22"/>
          <w:szCs w:val="22"/>
        </w:rPr>
        <w:t>)</w:t>
      </w:r>
      <w:r>
        <w:rPr>
          <w:sz w:val="22"/>
          <w:szCs w:val="22"/>
        </w:rPr>
        <w:t>.</w:t>
      </w:r>
    </w:p>
    <w:p w:rsidR="004916BD" w:rsidRDefault="004916BD" w:rsidP="004C5F2F">
      <w:pPr>
        <w:jc w:val="both"/>
        <w:rPr>
          <w:sz w:val="22"/>
          <w:szCs w:val="22"/>
        </w:rPr>
      </w:pPr>
    </w:p>
    <w:p w:rsidR="004916BD" w:rsidRPr="006E3A6F" w:rsidRDefault="004916BD" w:rsidP="004916BD">
      <w:pPr>
        <w:shd w:val="clear" w:color="auto" w:fill="FFFFFF" w:themeFill="background1"/>
        <w:jc w:val="both"/>
        <w:rPr>
          <w:rFonts w:cs="Arial"/>
          <w:sz w:val="22"/>
          <w:szCs w:val="22"/>
        </w:rPr>
      </w:pPr>
      <w:r w:rsidRPr="006E3A6F">
        <w:rPr>
          <w:rFonts w:cs="Arial"/>
          <w:sz w:val="22"/>
          <w:szCs w:val="22"/>
          <w:shd w:val="clear" w:color="auto" w:fill="FFFFFF" w:themeFill="background1"/>
        </w:rPr>
        <w:t>Imajući u vidu gore navedeno, ova strategija strijemi ka u</w:t>
      </w:r>
      <w:r w:rsidRPr="006E3A6F">
        <w:rPr>
          <w:sz w:val="22"/>
          <w:szCs w:val="22"/>
          <w:shd w:val="clear" w:color="auto" w:fill="FFFFFF" w:themeFill="background1"/>
        </w:rPr>
        <w:t xml:space="preserve">napređenju stanja ljudskih resursa i jačanju socijalne inkluzije na lokalnom nivou, što je takođe jedan od </w:t>
      </w:r>
      <w:r w:rsidRPr="006E3A6F">
        <w:rPr>
          <w:rFonts w:cs="Arial"/>
          <w:sz w:val="22"/>
          <w:szCs w:val="22"/>
          <w:shd w:val="clear" w:color="auto" w:fill="FFFFFF" w:themeFill="background1"/>
        </w:rPr>
        <w:t>prioriteta</w:t>
      </w:r>
      <w:r w:rsidR="00CE1182">
        <w:rPr>
          <w:rFonts w:cs="Arial"/>
          <w:sz w:val="22"/>
          <w:szCs w:val="22"/>
          <w:shd w:val="clear" w:color="auto" w:fill="FFFFFF" w:themeFill="background1"/>
        </w:rPr>
        <w:t xml:space="preserve"> Strateškog plana razvoja opštine i </w:t>
      </w:r>
      <w:r w:rsidRPr="006E3A6F">
        <w:rPr>
          <w:sz w:val="22"/>
          <w:szCs w:val="22"/>
        </w:rPr>
        <w:t xml:space="preserve"> Nacionalne strategije održivog razvoja do 2030. godine. </w:t>
      </w:r>
    </w:p>
    <w:p w:rsidR="003462C3" w:rsidRDefault="003462C3">
      <w:pPr>
        <w:rPr>
          <w:sz w:val="22"/>
          <w:szCs w:val="22"/>
        </w:rPr>
      </w:pPr>
      <w:r>
        <w:rPr>
          <w:sz w:val="22"/>
          <w:szCs w:val="22"/>
        </w:rPr>
        <w:br w:type="page"/>
      </w:r>
    </w:p>
    <w:p w:rsidR="004916BD" w:rsidRPr="00BE66EB" w:rsidRDefault="004916BD" w:rsidP="004C5F2F">
      <w:pPr>
        <w:jc w:val="both"/>
        <w:rPr>
          <w:sz w:val="22"/>
          <w:szCs w:val="22"/>
        </w:rPr>
      </w:pPr>
    </w:p>
    <w:p w:rsidR="002475E7" w:rsidRPr="00196A72" w:rsidRDefault="002475E7" w:rsidP="00767812">
      <w:pPr>
        <w:pStyle w:val="Heading1"/>
        <w:spacing w:before="0"/>
        <w:ind w:left="425" w:hanging="357"/>
      </w:pPr>
      <w:bookmarkStart w:id="19" w:name="_Toc61289775"/>
      <w:bookmarkStart w:id="20" w:name="_Toc63099490"/>
      <w:bookmarkStart w:id="21" w:name="_Toc44873743"/>
      <w:bookmarkStart w:id="22" w:name="_Toc52644725"/>
      <w:bookmarkStart w:id="23" w:name="_Toc58581870"/>
      <w:r w:rsidRPr="00196A72">
        <w:t>SOCIO-EKONOMSKA SITUACIJA</w:t>
      </w:r>
      <w:bookmarkEnd w:id="19"/>
      <w:bookmarkEnd w:id="20"/>
    </w:p>
    <w:p w:rsidR="002475E7" w:rsidRDefault="002475E7" w:rsidP="00DE28B8">
      <w:pPr>
        <w:rPr>
          <w:rFonts w:cs="Arial"/>
          <w:b/>
          <w:bCs/>
          <w:sz w:val="22"/>
          <w:szCs w:val="22"/>
          <w:lang w:val="hr-HR"/>
        </w:rPr>
      </w:pPr>
    </w:p>
    <w:p w:rsidR="00A6124E" w:rsidRPr="00373F67" w:rsidRDefault="00A6124E" w:rsidP="00A6124E">
      <w:pPr>
        <w:pStyle w:val="Heading2"/>
        <w:spacing w:before="0"/>
        <w:rPr>
          <w:rFonts w:cs="Arial"/>
          <w:lang w:val="bs-Latn-BA"/>
        </w:rPr>
      </w:pPr>
      <w:bookmarkStart w:id="24" w:name="_Toc61289776"/>
      <w:bookmarkStart w:id="25" w:name="_Toc63099491"/>
      <w:r w:rsidRPr="00373F67">
        <w:rPr>
          <w:rFonts w:cs="Arial"/>
          <w:lang w:val="bs-Latn-BA"/>
        </w:rPr>
        <w:t xml:space="preserve">2.1 </w:t>
      </w:r>
      <w:r w:rsidRPr="00373F67">
        <w:rPr>
          <w:lang w:val="bs-Latn-BA"/>
        </w:rPr>
        <w:t>Geografski položaj opštine</w:t>
      </w:r>
      <w:bookmarkEnd w:id="24"/>
      <w:bookmarkEnd w:id="25"/>
      <w:r w:rsidRPr="00373F67">
        <w:rPr>
          <w:lang w:val="bs-Latn-BA"/>
        </w:rPr>
        <w:t xml:space="preserve"> </w:t>
      </w:r>
    </w:p>
    <w:p w:rsidR="00A6124E" w:rsidRPr="00373F67" w:rsidRDefault="00A6124E" w:rsidP="00A6124E">
      <w:pPr>
        <w:pStyle w:val="Heading2"/>
        <w:spacing w:before="0"/>
        <w:jc w:val="both"/>
        <w:rPr>
          <w:rFonts w:cs="Arial"/>
          <w:sz w:val="22"/>
          <w:szCs w:val="22"/>
          <w:lang w:val="bs-Latn-BA"/>
        </w:rPr>
      </w:pPr>
    </w:p>
    <w:p w:rsidR="00A6124E" w:rsidRPr="00373F67" w:rsidRDefault="00A6124E" w:rsidP="005E3980">
      <w:pPr>
        <w:jc w:val="both"/>
        <w:rPr>
          <w:sz w:val="22"/>
          <w:szCs w:val="22"/>
          <w:lang w:val="bs-Latn-BA"/>
        </w:rPr>
      </w:pPr>
      <w:r w:rsidRPr="00373F67">
        <w:rPr>
          <w:sz w:val="22"/>
          <w:szCs w:val="22"/>
          <w:lang w:val="bs-Latn-BA"/>
        </w:rPr>
        <w:t xml:space="preserve">Glavni grad Podgorica je administrativni, kulturni, privredni i politički centar Crne Gore. Nalazi se u Središnjem regionu na razmeđi puteva između Primorskog i Sjevernog regiona, što ga uz izgrađenu aerodromsku infrastrukturu čini i saobraćajnim centrom. Uz to, Glavni grad je i akademski centar, što sve zajedno utiče na snažno demografsko gravitiranje ka Podgorici. </w:t>
      </w:r>
    </w:p>
    <w:p w:rsidR="005E3980" w:rsidRDefault="005E3980" w:rsidP="005E3980">
      <w:pPr>
        <w:jc w:val="both"/>
        <w:rPr>
          <w:sz w:val="22"/>
          <w:szCs w:val="22"/>
          <w:lang w:val="bs-Latn-BA"/>
        </w:rPr>
      </w:pPr>
    </w:p>
    <w:p w:rsidR="00A6124E" w:rsidRPr="00373F67" w:rsidRDefault="00A6124E" w:rsidP="005E3980">
      <w:pPr>
        <w:jc w:val="both"/>
        <w:rPr>
          <w:sz w:val="22"/>
          <w:szCs w:val="22"/>
          <w:lang w:val="bs-Latn-BA"/>
        </w:rPr>
      </w:pPr>
      <w:r w:rsidRPr="00373F67">
        <w:rPr>
          <w:sz w:val="22"/>
          <w:szCs w:val="22"/>
          <w:lang w:val="bs-Latn-BA"/>
        </w:rPr>
        <w:t>Prema Zakonu o teritorijalnoj organizaciji, Podgorica i Golubovici su naselja gradskog karaktera. Podgorica se prostire na površini od 1.491 km</w:t>
      </w:r>
      <w:r w:rsidRPr="006E3A6F">
        <w:rPr>
          <w:sz w:val="22"/>
          <w:szCs w:val="22"/>
          <w:vertAlign w:val="superscript"/>
          <w:lang w:val="bs-Latn-BA"/>
        </w:rPr>
        <w:t>2</w:t>
      </w:r>
      <w:r w:rsidRPr="00373F67">
        <w:rPr>
          <w:sz w:val="22"/>
          <w:szCs w:val="22"/>
          <w:lang w:val="bs-Latn-BA"/>
        </w:rPr>
        <w:t xml:space="preserve">, što čini gotovo 10,5% ukupne teritorije Crne Gore. Glavni grad se graniči sa opštinama Tuzi, Bar, Cetinje, Danilovgrad, Kolašin i Andrijevica. Takođe se graniči sa Republikom Albanijom. Relativna bliskost i sa planinskim dijelom i sa morskom obalom dodatno ukazuje na povoljan geografski položaj Glavnog grada. Pored toga, Glavni grad obuhvata i brojna zaštićena prirodna dobra. </w:t>
      </w:r>
    </w:p>
    <w:p w:rsidR="00A6124E" w:rsidRPr="00373F67" w:rsidRDefault="00A6124E" w:rsidP="00A6124E">
      <w:pPr>
        <w:rPr>
          <w:lang w:val="bs-Latn-BA"/>
        </w:rPr>
      </w:pPr>
    </w:p>
    <w:p w:rsidR="00A6124E" w:rsidRPr="00373F67" w:rsidRDefault="00A6124E" w:rsidP="00A6124E">
      <w:pPr>
        <w:pStyle w:val="Heading2"/>
        <w:spacing w:before="0"/>
        <w:rPr>
          <w:rFonts w:cs="Arial"/>
          <w:lang w:val="bs-Latn-BA"/>
        </w:rPr>
      </w:pPr>
      <w:bookmarkStart w:id="26" w:name="_Toc61289777"/>
      <w:bookmarkStart w:id="27" w:name="_Toc63099492"/>
      <w:r w:rsidRPr="00373F67">
        <w:rPr>
          <w:rFonts w:cs="Arial"/>
          <w:lang w:val="bs-Latn-BA"/>
        </w:rPr>
        <w:t>2.2 Demografska slika</w:t>
      </w:r>
      <w:bookmarkEnd w:id="26"/>
      <w:bookmarkEnd w:id="27"/>
    </w:p>
    <w:p w:rsidR="00A6124E" w:rsidRPr="00373F67" w:rsidRDefault="00A6124E" w:rsidP="00A6124E">
      <w:pPr>
        <w:jc w:val="both"/>
        <w:rPr>
          <w:rFonts w:cs="Arial"/>
          <w:color w:val="000000" w:themeColor="text1"/>
          <w:sz w:val="22"/>
          <w:szCs w:val="22"/>
          <w:lang w:val="bs-Latn-BA"/>
        </w:rPr>
      </w:pPr>
    </w:p>
    <w:p w:rsidR="00A6124E" w:rsidRPr="00373F67" w:rsidRDefault="00A6124E" w:rsidP="005E3980">
      <w:pPr>
        <w:jc w:val="both"/>
        <w:rPr>
          <w:sz w:val="22"/>
          <w:szCs w:val="22"/>
          <w:lang w:val="bs-Latn-BA"/>
        </w:rPr>
      </w:pPr>
      <w:r w:rsidRPr="00373F67">
        <w:rPr>
          <w:sz w:val="22"/>
          <w:szCs w:val="22"/>
          <w:lang w:val="bs-Latn-BA"/>
        </w:rPr>
        <w:t xml:space="preserve">Usljed svega prethodno navedenog, jasno je da se demografska slika Glavnog grada intenzivno mijenja. Broj stanovnika se značajno uvećao tokom posljednjih decenija, što je posljedica i pozitivnog prirodnog priraštaja, ali i pozitivnog migracionog salda. </w:t>
      </w:r>
    </w:p>
    <w:p w:rsidR="005E3980" w:rsidRDefault="005E3980" w:rsidP="005E3980">
      <w:pPr>
        <w:jc w:val="both"/>
        <w:rPr>
          <w:sz w:val="22"/>
          <w:szCs w:val="22"/>
          <w:lang w:val="bs-Latn-BA"/>
        </w:rPr>
      </w:pPr>
    </w:p>
    <w:p w:rsidR="00A6124E" w:rsidRPr="00373F67" w:rsidRDefault="00A6124E" w:rsidP="005E3980">
      <w:pPr>
        <w:jc w:val="both"/>
        <w:rPr>
          <w:sz w:val="22"/>
          <w:szCs w:val="22"/>
          <w:lang w:val="bs-Latn-BA"/>
        </w:rPr>
      </w:pPr>
      <w:r w:rsidRPr="00373F67">
        <w:rPr>
          <w:sz w:val="22"/>
          <w:szCs w:val="22"/>
          <w:lang w:val="bs-Latn-BA"/>
        </w:rPr>
        <w:t xml:space="preserve">Prema podacima sa posljednjeg popisa iz 2011. godine, ali i prema procjenama stanovništva u glavnom gradu je u 2011. godini živjelo gotovo 186 hiljada stanovnika, što je činilo oko 30% ukupnog stanovništva Crne Gore. Ovaj broj se kontinuirano povećavao sve do 2019. godine. Tako je, prema procjenama stanovništva, broj stanovnika Podgorice u 2018. godini iznosio 199.715, što je rast od 7,4% u odnosu na 2011. godinu. Ipak, procjene MONSTAT-a za 2019. godinu nijesu uporedive sa podacima za prethodne godine, jer je u 2019. godini izuzeta populacija novonastale opštine Tuzi. Ukoliko bi se ta populacija dodala populaciji Glavnog grada Podgorice, u 2019. godini bi ukupno iznosila 201.631, što je za 1% više u odnosu na prethodnu godinu, i 8,4% više u odnosu na 2011. godinu. Ovo ukazuje na kontinuiran snažan rast populacije Glavnog grada. </w:t>
      </w:r>
    </w:p>
    <w:p w:rsidR="005E3980" w:rsidRDefault="005E3980" w:rsidP="00A6124E">
      <w:pPr>
        <w:rPr>
          <w:rFonts w:cs="Arial"/>
          <w:color w:val="000000" w:themeColor="text1"/>
          <w:szCs w:val="20"/>
          <w:lang w:val="bs-Latn-BA"/>
        </w:rPr>
      </w:pPr>
    </w:p>
    <w:p w:rsidR="00A6124E" w:rsidRDefault="00A6124E" w:rsidP="00A6124E">
      <w:pPr>
        <w:rPr>
          <w:rFonts w:cs="Arial"/>
          <w:color w:val="000000" w:themeColor="text1"/>
          <w:szCs w:val="20"/>
          <w:lang w:val="bs-Latn-BA"/>
        </w:rPr>
      </w:pPr>
      <w:r w:rsidRPr="00373F67">
        <w:rPr>
          <w:rFonts w:cs="Arial"/>
          <w:color w:val="000000" w:themeColor="text1"/>
          <w:szCs w:val="20"/>
          <w:lang w:val="bs-Latn-BA"/>
        </w:rPr>
        <w:t>Grafik 1: Procjena broja stanovnika Glavnog grada Podgorice, sredinom godine</w:t>
      </w:r>
    </w:p>
    <w:p w:rsidR="00580DC5" w:rsidRPr="00373F67" w:rsidRDefault="00580DC5" w:rsidP="00A6124E">
      <w:pPr>
        <w:rPr>
          <w:rFonts w:cs="Arial"/>
          <w:color w:val="000000" w:themeColor="text1"/>
          <w:szCs w:val="20"/>
          <w:lang w:val="bs-Latn-BA"/>
        </w:rPr>
      </w:pPr>
    </w:p>
    <w:p w:rsidR="00A6124E" w:rsidRPr="00373F67" w:rsidRDefault="00CD262E" w:rsidP="00A6124E">
      <w:pPr>
        <w:jc w:val="center"/>
        <w:rPr>
          <w:noProof/>
          <w:lang w:val="bs-Latn-BA"/>
        </w:rPr>
      </w:pPr>
      <w:r w:rsidRPr="00CD262E">
        <w:rPr>
          <w:noProof/>
          <w:shd w:val="clear" w:color="auto" w:fill="F2F2F2" w:themeFill="background1" w:themeFillShade="F2"/>
          <w:lang w:val="en-US"/>
        </w:rPr>
        <w:drawing>
          <wp:inline distT="0" distB="0" distL="0" distR="0">
            <wp:extent cx="5265420" cy="2103120"/>
            <wp:effectExtent l="0" t="0" r="11430" b="11430"/>
            <wp:docPr id="7" name="Grafikon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B2C8FB75-DED2-4706-BE3E-95D7F4FDCE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124E" w:rsidRPr="00373F67" w:rsidRDefault="00A6124E" w:rsidP="00A6124E">
      <w:pPr>
        <w:jc w:val="right"/>
        <w:rPr>
          <w:rFonts w:cs="Arial"/>
          <w:i/>
          <w:iCs/>
          <w:color w:val="000000" w:themeColor="text1"/>
          <w:sz w:val="18"/>
          <w:lang w:val="bs-Latn-BA"/>
        </w:rPr>
      </w:pPr>
      <w:r w:rsidRPr="00373F67">
        <w:rPr>
          <w:rFonts w:cs="Arial"/>
          <w:i/>
          <w:iCs/>
          <w:color w:val="000000" w:themeColor="text1"/>
          <w:sz w:val="18"/>
          <w:lang w:val="bs-Latn-BA"/>
        </w:rPr>
        <w:t>Izvor: MONSTAT</w:t>
      </w:r>
    </w:p>
    <w:p w:rsidR="00A6124E" w:rsidRDefault="00A6124E" w:rsidP="00A6124E">
      <w:pPr>
        <w:jc w:val="both"/>
        <w:rPr>
          <w:sz w:val="22"/>
          <w:szCs w:val="22"/>
          <w:lang w:val="bs-Latn-BA"/>
        </w:rPr>
      </w:pPr>
    </w:p>
    <w:p w:rsidR="00A6124E" w:rsidRPr="00373F67" w:rsidRDefault="00A6124E" w:rsidP="005E3980">
      <w:pPr>
        <w:jc w:val="both"/>
        <w:rPr>
          <w:color w:val="000000" w:themeColor="text1"/>
          <w:sz w:val="22"/>
          <w:szCs w:val="22"/>
          <w:lang w:val="bs-Latn-BA"/>
        </w:rPr>
      </w:pPr>
      <w:r w:rsidRPr="00373F67">
        <w:rPr>
          <w:sz w:val="22"/>
          <w:szCs w:val="22"/>
          <w:lang w:val="bs-Latn-BA"/>
        </w:rPr>
        <w:t xml:space="preserve">Pozitivan prirodni priraštaj je posljedica činjenice da se posljednjih godina uglavnom mlađa populacija iz Sjevernog regiona, ali i iz drugih opština Crne Gore seli u Podgoricu. Prirodni priraštaj doprinosi godišnjem porastu ukupne populacije Podgorice za oko 0,5% godišnje. Takođe, prosječna starost stanovništva Podgorice je prema popisu iz 2011. godine iznosila 35,7 godina, što populaciju Glavnog grada čini mlađom u odnosu na prosjek u Crnoj Gori (37,2 godina). </w:t>
      </w:r>
    </w:p>
    <w:p w:rsidR="00A6124E" w:rsidRPr="00373F67" w:rsidRDefault="00A6124E" w:rsidP="005E3980">
      <w:pPr>
        <w:jc w:val="both"/>
        <w:rPr>
          <w:color w:val="000000" w:themeColor="text1"/>
          <w:sz w:val="22"/>
          <w:szCs w:val="22"/>
          <w:lang w:val="bs-Latn-BA"/>
        </w:rPr>
      </w:pPr>
      <w:r w:rsidRPr="00373F67">
        <w:rPr>
          <w:color w:val="000000" w:themeColor="text1"/>
          <w:sz w:val="22"/>
          <w:szCs w:val="22"/>
          <w:lang w:val="bs-Latn-BA"/>
        </w:rPr>
        <w:lastRenderedPageBreak/>
        <w:t>Podgorica u kontinuitetu bilježi pozitivan migracioni saldo. U 2019. godini, taj saldo je iznosio 1</w:t>
      </w:r>
      <w:r w:rsidR="00CD262E">
        <w:rPr>
          <w:color w:val="000000" w:themeColor="text1"/>
          <w:sz w:val="22"/>
          <w:szCs w:val="22"/>
          <w:lang w:val="bs-Latn-BA"/>
        </w:rPr>
        <w:t>.</w:t>
      </w:r>
      <w:r w:rsidRPr="00373F67">
        <w:rPr>
          <w:color w:val="000000" w:themeColor="text1"/>
          <w:sz w:val="22"/>
          <w:szCs w:val="22"/>
          <w:lang w:val="bs-Latn-BA"/>
        </w:rPr>
        <w:t>293, što čini gotovo 0,7% ukupne populacije Glavnog grada. Kad su u pitanju unutrašnje migracije, na osnovu podataka iz 2019. godine može se zaključiti da se stanovništvo iz Podgorice najviše selilo u Primorski region - 38% (naročito u Budvu i Bar), zatim ostale opštine Centralnog regiona – 37,2% (naročito Danilovgrad u koji se odselilo 16,5% svih odseljenih iz Podgorice unutar Crne Gore), dok se u Sjeverni region u 2018. godini odselilo 24,8% svih odseljenih (pretpostavlja se da je riječ o „povratnicima“). Sa druge strane, od 2</w:t>
      </w:r>
      <w:r w:rsidR="00CD262E">
        <w:rPr>
          <w:color w:val="000000" w:themeColor="text1"/>
          <w:sz w:val="22"/>
          <w:szCs w:val="22"/>
          <w:lang w:val="bs-Latn-BA"/>
        </w:rPr>
        <w:t>.</w:t>
      </w:r>
      <w:r w:rsidRPr="00373F67">
        <w:rPr>
          <w:color w:val="000000" w:themeColor="text1"/>
          <w:sz w:val="22"/>
          <w:szCs w:val="22"/>
          <w:lang w:val="bs-Latn-BA"/>
        </w:rPr>
        <w:t>381 doseljenih osoba, najviše je iz Sjevernog regiona (47,4%). Slijedi Središnji region, iz kojeg je u Podgoricu u 2019.</w:t>
      </w:r>
      <w:r w:rsidR="00860D03">
        <w:rPr>
          <w:color w:val="000000" w:themeColor="text1"/>
          <w:sz w:val="22"/>
          <w:szCs w:val="22"/>
          <w:lang w:val="bs-Latn-BA"/>
        </w:rPr>
        <w:t xml:space="preserve"> </w:t>
      </w:r>
      <w:r w:rsidRPr="00373F67">
        <w:rPr>
          <w:color w:val="000000" w:themeColor="text1"/>
          <w:sz w:val="22"/>
          <w:szCs w:val="22"/>
          <w:lang w:val="bs-Latn-BA"/>
        </w:rPr>
        <w:t>godine došlo 31,8</w:t>
      </w:r>
      <w:r w:rsidR="00860D03" w:rsidRPr="00373F67" w:rsidDel="00860D03">
        <w:rPr>
          <w:color w:val="000000" w:themeColor="text1"/>
          <w:sz w:val="22"/>
          <w:szCs w:val="22"/>
          <w:lang w:val="bs-Latn-BA"/>
        </w:rPr>
        <w:t>%</w:t>
      </w:r>
      <w:r w:rsidRPr="00373F67">
        <w:rPr>
          <w:color w:val="000000" w:themeColor="text1"/>
          <w:sz w:val="22"/>
          <w:szCs w:val="22"/>
          <w:lang w:val="bs-Latn-BA"/>
        </w:rPr>
        <w:t xml:space="preserve"> svih doseljenih, dok je iz Primorskog regiona došlo 20,8% svih doseljenih. Nikšić i Bijelo Polje su opštin</w:t>
      </w:r>
      <w:r w:rsidR="00860D03">
        <w:rPr>
          <w:color w:val="000000" w:themeColor="text1"/>
          <w:sz w:val="22"/>
          <w:szCs w:val="22"/>
          <w:lang w:val="bs-Latn-BA"/>
        </w:rPr>
        <w:t>e</w:t>
      </w:r>
      <w:r w:rsidRPr="00373F67">
        <w:rPr>
          <w:color w:val="000000" w:themeColor="text1"/>
          <w:sz w:val="22"/>
          <w:szCs w:val="22"/>
          <w:lang w:val="bs-Latn-BA"/>
        </w:rPr>
        <w:t xml:space="preserve"> iz kojih dolazi naviše nove populacije Podgorice (12,5%, odnosno 12,2% ukupne doseljene populacije iz Crne Gore). </w:t>
      </w:r>
    </w:p>
    <w:p w:rsidR="005E3980" w:rsidRDefault="005E3980" w:rsidP="005E3980">
      <w:pPr>
        <w:rPr>
          <w:rFonts w:cs="Arial"/>
          <w:color w:val="000000" w:themeColor="text1"/>
          <w:szCs w:val="20"/>
          <w:lang w:val="bs-Latn-BA"/>
        </w:rPr>
      </w:pPr>
    </w:p>
    <w:p w:rsidR="00A6124E" w:rsidRDefault="00A6124E" w:rsidP="005E3980">
      <w:pPr>
        <w:rPr>
          <w:rFonts w:cs="Arial"/>
          <w:color w:val="000000" w:themeColor="text1"/>
          <w:szCs w:val="20"/>
          <w:lang w:val="bs-Latn-BA"/>
        </w:rPr>
      </w:pPr>
      <w:r w:rsidRPr="00373F67">
        <w:rPr>
          <w:rFonts w:cs="Arial"/>
          <w:color w:val="000000" w:themeColor="text1"/>
          <w:szCs w:val="20"/>
          <w:lang w:val="bs-Latn-BA"/>
        </w:rPr>
        <w:t>Tabela 1: Prirodni priraštaj i unutrašnje migracije</w:t>
      </w:r>
    </w:p>
    <w:p w:rsidR="00580DC5" w:rsidRPr="00373F67" w:rsidRDefault="00580DC5" w:rsidP="005E3980">
      <w:pPr>
        <w:rPr>
          <w:rFonts w:cs="Arial"/>
          <w:color w:val="000000" w:themeColor="text1"/>
          <w:szCs w:val="20"/>
          <w:lang w:val="bs-Latn-BA"/>
        </w:rPr>
      </w:pPr>
    </w:p>
    <w:tbl>
      <w:tblPr>
        <w:tblStyle w:val="PlainTable21"/>
        <w:tblW w:w="7891" w:type="dxa"/>
        <w:jc w:val="center"/>
        <w:tblLook w:val="04A0"/>
      </w:tblPr>
      <w:tblGrid>
        <w:gridCol w:w="1423"/>
        <w:gridCol w:w="978"/>
        <w:gridCol w:w="1687"/>
        <w:gridCol w:w="1828"/>
        <w:gridCol w:w="146"/>
        <w:gridCol w:w="1829"/>
      </w:tblGrid>
      <w:tr w:rsidR="00A6124E" w:rsidRPr="00373F67" w:rsidTr="00AA426D">
        <w:trPr>
          <w:cnfStyle w:val="100000000000"/>
          <w:trHeight w:val="246"/>
          <w:jc w:val="center"/>
        </w:trPr>
        <w:tc>
          <w:tcPr>
            <w:cnfStyle w:val="001000000000"/>
            <w:tcW w:w="1423" w:type="dxa"/>
            <w:vMerge w:val="restart"/>
            <w:tcBorders>
              <w:top w:val="single" w:sz="4" w:space="0" w:color="A6A6A6" w:themeColor="background1" w:themeShade="A6"/>
            </w:tcBorders>
            <w:shd w:val="clear" w:color="auto" w:fill="FFD966" w:themeFill="accent4" w:themeFillTint="99"/>
          </w:tcPr>
          <w:p w:rsidR="00A6124E" w:rsidRPr="00767812" w:rsidRDefault="00A6124E" w:rsidP="005E3980">
            <w:pPr>
              <w:jc w:val="both"/>
              <w:rPr>
                <w:rFonts w:cs="Arial"/>
                <w:b w:val="0"/>
                <w:bCs w:val="0"/>
                <w:color w:val="000000" w:themeColor="text1"/>
                <w:sz w:val="18"/>
                <w:lang w:val="bs-Latn-BA"/>
              </w:rPr>
            </w:pPr>
            <w:r w:rsidRPr="00767812">
              <w:rPr>
                <w:rFonts w:cs="Arial"/>
                <w:b w:val="0"/>
                <w:bCs w:val="0"/>
                <w:color w:val="000000" w:themeColor="text1"/>
                <w:sz w:val="18"/>
                <w:lang w:val="bs-Latn-BA"/>
              </w:rPr>
              <w:t>Godina</w:t>
            </w:r>
          </w:p>
        </w:tc>
        <w:tc>
          <w:tcPr>
            <w:tcW w:w="978" w:type="dxa"/>
            <w:vMerge w:val="restart"/>
            <w:tcBorders>
              <w:top w:val="single" w:sz="4" w:space="0" w:color="A6A6A6" w:themeColor="background1" w:themeShade="A6"/>
            </w:tcBorders>
            <w:shd w:val="clear" w:color="auto" w:fill="FFD966" w:themeFill="accent4" w:themeFillTint="99"/>
          </w:tcPr>
          <w:p w:rsidR="00A6124E" w:rsidRPr="00767812" w:rsidRDefault="00A6124E" w:rsidP="005E3980">
            <w:pPr>
              <w:jc w:val="both"/>
              <w:cnfStyle w:val="100000000000"/>
              <w:rPr>
                <w:rFonts w:cs="Arial"/>
                <w:b w:val="0"/>
                <w:bCs w:val="0"/>
                <w:color w:val="000000" w:themeColor="text1"/>
                <w:sz w:val="18"/>
                <w:lang w:val="bs-Latn-BA"/>
              </w:rPr>
            </w:pPr>
            <w:r w:rsidRPr="00767812">
              <w:rPr>
                <w:rFonts w:cs="Arial"/>
                <w:b w:val="0"/>
                <w:bCs w:val="0"/>
                <w:color w:val="000000" w:themeColor="text1"/>
                <w:sz w:val="18"/>
                <w:lang w:val="bs-Latn-BA"/>
              </w:rPr>
              <w:t>Prirodni priraštaj</w:t>
            </w:r>
          </w:p>
        </w:tc>
        <w:tc>
          <w:tcPr>
            <w:tcW w:w="5490" w:type="dxa"/>
            <w:gridSpan w:val="4"/>
            <w:tcBorders>
              <w:top w:val="single" w:sz="4" w:space="0" w:color="A6A6A6" w:themeColor="background1" w:themeShade="A6"/>
              <w:bottom w:val="single" w:sz="4" w:space="0" w:color="A6A6A6" w:themeColor="background1" w:themeShade="A6"/>
            </w:tcBorders>
            <w:shd w:val="clear" w:color="auto" w:fill="FFD966" w:themeFill="accent4" w:themeFillTint="99"/>
          </w:tcPr>
          <w:p w:rsidR="00A6124E" w:rsidRPr="00767812" w:rsidRDefault="00A6124E" w:rsidP="005E3980">
            <w:pPr>
              <w:jc w:val="center"/>
              <w:cnfStyle w:val="100000000000"/>
              <w:rPr>
                <w:rFonts w:cs="Arial"/>
                <w:b w:val="0"/>
                <w:bCs w:val="0"/>
                <w:color w:val="000000" w:themeColor="text1"/>
                <w:sz w:val="18"/>
                <w:lang w:val="bs-Latn-BA"/>
              </w:rPr>
            </w:pPr>
            <w:r w:rsidRPr="00767812">
              <w:rPr>
                <w:rFonts w:cs="Arial"/>
                <w:b w:val="0"/>
                <w:bCs w:val="0"/>
                <w:color w:val="000000" w:themeColor="text1"/>
                <w:sz w:val="18"/>
                <w:lang w:val="bs-Latn-BA"/>
              </w:rPr>
              <w:t>UNUTRAŠNJE MIGRACIJE</w:t>
            </w:r>
          </w:p>
        </w:tc>
      </w:tr>
      <w:tr w:rsidR="00A6124E" w:rsidRPr="00373F67" w:rsidTr="00AA426D">
        <w:trPr>
          <w:cnfStyle w:val="000000100000"/>
          <w:trHeight w:val="276"/>
          <w:jc w:val="center"/>
        </w:trPr>
        <w:tc>
          <w:tcPr>
            <w:cnfStyle w:val="001000000000"/>
            <w:tcW w:w="1423" w:type="dxa"/>
            <w:vMerge/>
            <w:tcBorders>
              <w:bottom w:val="single" w:sz="4" w:space="0" w:color="A6A6A6" w:themeColor="background1" w:themeShade="A6"/>
            </w:tcBorders>
            <w:shd w:val="clear" w:color="auto" w:fill="FFD966" w:themeFill="accent4" w:themeFillTint="99"/>
          </w:tcPr>
          <w:p w:rsidR="00A6124E" w:rsidRPr="00767812" w:rsidRDefault="00A6124E" w:rsidP="005E3980">
            <w:pPr>
              <w:jc w:val="both"/>
              <w:rPr>
                <w:rFonts w:cs="Arial"/>
                <w:b w:val="0"/>
                <w:bCs w:val="0"/>
                <w:color w:val="000000" w:themeColor="text1"/>
                <w:szCs w:val="20"/>
                <w:lang w:val="bs-Latn-BA"/>
              </w:rPr>
            </w:pPr>
          </w:p>
        </w:tc>
        <w:tc>
          <w:tcPr>
            <w:tcW w:w="978" w:type="dxa"/>
            <w:vMerge/>
            <w:tcBorders>
              <w:bottom w:val="single" w:sz="4" w:space="0" w:color="A6A6A6" w:themeColor="background1" w:themeShade="A6"/>
            </w:tcBorders>
            <w:shd w:val="clear" w:color="auto" w:fill="FFD966" w:themeFill="accent4" w:themeFillTint="99"/>
          </w:tcPr>
          <w:p w:rsidR="00A6124E" w:rsidRPr="00767812" w:rsidRDefault="00A6124E" w:rsidP="005E3980">
            <w:pPr>
              <w:jc w:val="both"/>
              <w:cnfStyle w:val="000000100000"/>
              <w:rPr>
                <w:rFonts w:cs="Arial"/>
                <w:color w:val="000000" w:themeColor="text1"/>
                <w:sz w:val="18"/>
                <w:lang w:val="bs-Latn-BA"/>
              </w:rPr>
            </w:pPr>
          </w:p>
        </w:tc>
        <w:tc>
          <w:tcPr>
            <w:tcW w:w="1687" w:type="dxa"/>
            <w:tcBorders>
              <w:top w:val="single" w:sz="4" w:space="0" w:color="A6A6A6" w:themeColor="background1" w:themeShade="A6"/>
              <w:bottom w:val="single" w:sz="4" w:space="0" w:color="A6A6A6" w:themeColor="background1" w:themeShade="A6"/>
            </w:tcBorders>
            <w:shd w:val="clear" w:color="auto" w:fill="FFD966" w:themeFill="accent4" w:themeFillTint="99"/>
          </w:tcPr>
          <w:p w:rsidR="00A6124E" w:rsidRPr="00767812" w:rsidRDefault="00A6124E" w:rsidP="005E3980">
            <w:pPr>
              <w:jc w:val="center"/>
              <w:cnfStyle w:val="000000100000"/>
              <w:rPr>
                <w:rFonts w:cs="Arial"/>
                <w:color w:val="000000" w:themeColor="text1"/>
                <w:sz w:val="18"/>
                <w:lang w:val="bs-Latn-BA"/>
              </w:rPr>
            </w:pPr>
            <w:r w:rsidRPr="00767812">
              <w:rPr>
                <w:rFonts w:cs="Arial"/>
                <w:color w:val="000000" w:themeColor="text1"/>
                <w:sz w:val="18"/>
                <w:lang w:val="bs-Latn-BA"/>
              </w:rPr>
              <w:t>Doseljeni</w:t>
            </w:r>
          </w:p>
        </w:tc>
        <w:tc>
          <w:tcPr>
            <w:tcW w:w="1974" w:type="dxa"/>
            <w:gridSpan w:val="2"/>
            <w:tcBorders>
              <w:top w:val="single" w:sz="4" w:space="0" w:color="A6A6A6" w:themeColor="background1" w:themeShade="A6"/>
              <w:bottom w:val="single" w:sz="4" w:space="0" w:color="A6A6A6" w:themeColor="background1" w:themeShade="A6"/>
            </w:tcBorders>
            <w:shd w:val="clear" w:color="auto" w:fill="FFD966" w:themeFill="accent4" w:themeFillTint="99"/>
          </w:tcPr>
          <w:p w:rsidR="00A6124E" w:rsidRPr="00767812" w:rsidRDefault="00A6124E" w:rsidP="005E3980">
            <w:pPr>
              <w:jc w:val="center"/>
              <w:cnfStyle w:val="000000100000"/>
              <w:rPr>
                <w:rFonts w:cs="Arial"/>
                <w:color w:val="000000" w:themeColor="text1"/>
                <w:sz w:val="18"/>
                <w:lang w:val="bs-Latn-BA"/>
              </w:rPr>
            </w:pPr>
            <w:r w:rsidRPr="00767812">
              <w:rPr>
                <w:rFonts w:cs="Arial"/>
                <w:color w:val="000000" w:themeColor="text1"/>
                <w:sz w:val="18"/>
                <w:lang w:val="bs-Latn-BA"/>
              </w:rPr>
              <w:t>Odseljeni</w:t>
            </w:r>
          </w:p>
        </w:tc>
        <w:tc>
          <w:tcPr>
            <w:tcW w:w="1829" w:type="dxa"/>
            <w:tcBorders>
              <w:top w:val="single" w:sz="4" w:space="0" w:color="A6A6A6" w:themeColor="background1" w:themeShade="A6"/>
              <w:bottom w:val="single" w:sz="4" w:space="0" w:color="A6A6A6" w:themeColor="background1" w:themeShade="A6"/>
            </w:tcBorders>
            <w:shd w:val="clear" w:color="auto" w:fill="FFD966" w:themeFill="accent4" w:themeFillTint="99"/>
          </w:tcPr>
          <w:p w:rsidR="00A6124E" w:rsidRPr="00767812" w:rsidRDefault="00A6124E" w:rsidP="005E3980">
            <w:pPr>
              <w:jc w:val="center"/>
              <w:cnfStyle w:val="000000100000"/>
              <w:rPr>
                <w:rFonts w:cs="Arial"/>
                <w:color w:val="000000" w:themeColor="text1"/>
                <w:sz w:val="18"/>
                <w:lang w:val="bs-Latn-BA"/>
              </w:rPr>
            </w:pPr>
            <w:r w:rsidRPr="00767812">
              <w:rPr>
                <w:rFonts w:cs="Arial"/>
                <w:color w:val="000000" w:themeColor="text1"/>
                <w:sz w:val="18"/>
                <w:lang w:val="bs-Latn-BA"/>
              </w:rPr>
              <w:t>Migracioni saldo</w:t>
            </w:r>
          </w:p>
        </w:tc>
      </w:tr>
      <w:tr w:rsidR="00A6124E" w:rsidRPr="00373F67" w:rsidTr="00AA426D">
        <w:trPr>
          <w:trHeight w:val="246"/>
          <w:jc w:val="center"/>
        </w:trPr>
        <w:tc>
          <w:tcPr>
            <w:cnfStyle w:val="001000000000"/>
            <w:tcW w:w="1423" w:type="dxa"/>
            <w:tcBorders>
              <w:top w:val="single" w:sz="4" w:space="0" w:color="A6A6A6" w:themeColor="background1" w:themeShade="A6"/>
            </w:tcBorders>
          </w:tcPr>
          <w:p w:rsidR="00A6124E" w:rsidRPr="00767812" w:rsidRDefault="00A6124E" w:rsidP="005E3980">
            <w:pPr>
              <w:jc w:val="both"/>
              <w:rPr>
                <w:rFonts w:cs="Arial"/>
                <w:b w:val="0"/>
                <w:bCs w:val="0"/>
                <w:color w:val="000000" w:themeColor="text1"/>
                <w:sz w:val="18"/>
                <w:lang w:val="bs-Latn-BA"/>
              </w:rPr>
            </w:pPr>
            <w:r w:rsidRPr="00767812">
              <w:rPr>
                <w:rFonts w:cs="Arial"/>
                <w:b w:val="0"/>
                <w:bCs w:val="0"/>
                <w:color w:val="000000" w:themeColor="text1"/>
                <w:sz w:val="18"/>
                <w:lang w:val="bs-Latn-BA"/>
              </w:rPr>
              <w:t>2011.</w:t>
            </w:r>
          </w:p>
        </w:tc>
        <w:tc>
          <w:tcPr>
            <w:tcW w:w="978" w:type="dxa"/>
            <w:tcBorders>
              <w:top w:val="single" w:sz="4" w:space="0" w:color="A6A6A6" w:themeColor="background1" w:themeShade="A6"/>
            </w:tcBorders>
          </w:tcPr>
          <w:p w:rsidR="00A6124E" w:rsidRPr="00767812" w:rsidRDefault="00A6124E" w:rsidP="005E3980">
            <w:pPr>
              <w:jc w:val="center"/>
              <w:cnfStyle w:val="000000000000"/>
              <w:rPr>
                <w:rFonts w:cs="Arial"/>
                <w:color w:val="000000" w:themeColor="text1"/>
                <w:sz w:val="18"/>
                <w:lang w:val="bs-Latn-BA"/>
              </w:rPr>
            </w:pPr>
            <w:r w:rsidRPr="00767812">
              <w:rPr>
                <w:rFonts w:cs="Arial"/>
                <w:color w:val="000000" w:themeColor="text1"/>
                <w:sz w:val="18"/>
                <w:lang w:val="bs-Latn-BA"/>
              </w:rPr>
              <w:t>1</w:t>
            </w:r>
            <w:r w:rsidR="006E3A6F">
              <w:rPr>
                <w:rFonts w:cs="Arial"/>
                <w:color w:val="000000" w:themeColor="text1"/>
                <w:sz w:val="18"/>
                <w:lang w:val="bs-Latn-BA"/>
              </w:rPr>
              <w:t>.</w:t>
            </w:r>
            <w:r w:rsidRPr="00767812">
              <w:rPr>
                <w:rFonts w:cs="Arial"/>
                <w:color w:val="000000" w:themeColor="text1"/>
                <w:sz w:val="18"/>
                <w:lang w:val="bs-Latn-BA"/>
              </w:rPr>
              <w:t>147</w:t>
            </w:r>
          </w:p>
        </w:tc>
        <w:tc>
          <w:tcPr>
            <w:tcW w:w="1687" w:type="dxa"/>
            <w:tcBorders>
              <w:top w:val="single" w:sz="4" w:space="0" w:color="A6A6A6" w:themeColor="background1" w:themeShade="A6"/>
            </w:tcBorders>
          </w:tcPr>
          <w:p w:rsidR="00A6124E" w:rsidRPr="00767812" w:rsidRDefault="00A6124E" w:rsidP="005E3980">
            <w:pPr>
              <w:jc w:val="center"/>
              <w:cnfStyle w:val="000000000000"/>
              <w:rPr>
                <w:rFonts w:cs="Arial"/>
                <w:color w:val="000000"/>
                <w:sz w:val="18"/>
                <w:lang w:val="bs-Latn-BA"/>
              </w:rPr>
            </w:pPr>
            <w:r w:rsidRPr="00767812">
              <w:rPr>
                <w:rFonts w:cs="Arial"/>
                <w:color w:val="000000"/>
                <w:sz w:val="18"/>
                <w:lang w:val="bs-Latn-BA"/>
              </w:rPr>
              <w:t>1</w:t>
            </w:r>
            <w:r w:rsidR="006E3A6F">
              <w:rPr>
                <w:rFonts w:cs="Arial"/>
                <w:color w:val="000000"/>
                <w:sz w:val="18"/>
                <w:lang w:val="bs-Latn-BA"/>
              </w:rPr>
              <w:t>.</w:t>
            </w:r>
            <w:r w:rsidRPr="00767812">
              <w:rPr>
                <w:rFonts w:cs="Arial"/>
                <w:color w:val="000000"/>
                <w:sz w:val="18"/>
                <w:lang w:val="bs-Latn-BA"/>
              </w:rPr>
              <w:t>618</w:t>
            </w:r>
          </w:p>
        </w:tc>
        <w:tc>
          <w:tcPr>
            <w:tcW w:w="1828" w:type="dxa"/>
            <w:tcBorders>
              <w:top w:val="single" w:sz="4" w:space="0" w:color="A6A6A6" w:themeColor="background1" w:themeShade="A6"/>
            </w:tcBorders>
          </w:tcPr>
          <w:p w:rsidR="00A6124E" w:rsidRPr="00767812" w:rsidRDefault="00A6124E" w:rsidP="005E3980">
            <w:pPr>
              <w:jc w:val="center"/>
              <w:cnfStyle w:val="000000000000"/>
              <w:rPr>
                <w:rFonts w:cs="Arial"/>
                <w:color w:val="000000"/>
                <w:sz w:val="18"/>
                <w:lang w:val="bs-Latn-BA"/>
              </w:rPr>
            </w:pPr>
            <w:r w:rsidRPr="00767812">
              <w:rPr>
                <w:rFonts w:cs="Arial"/>
                <w:color w:val="000000"/>
                <w:sz w:val="18"/>
                <w:lang w:val="bs-Latn-BA"/>
              </w:rPr>
              <w:t>614</w:t>
            </w:r>
          </w:p>
        </w:tc>
        <w:tc>
          <w:tcPr>
            <w:tcW w:w="1975" w:type="dxa"/>
            <w:gridSpan w:val="2"/>
            <w:tcBorders>
              <w:top w:val="single" w:sz="4" w:space="0" w:color="A6A6A6" w:themeColor="background1" w:themeShade="A6"/>
            </w:tcBorders>
          </w:tcPr>
          <w:p w:rsidR="00A6124E" w:rsidRPr="00767812" w:rsidRDefault="00A6124E" w:rsidP="005E3980">
            <w:pPr>
              <w:jc w:val="center"/>
              <w:cnfStyle w:val="000000000000"/>
              <w:rPr>
                <w:rFonts w:cs="Arial"/>
                <w:color w:val="000000"/>
                <w:sz w:val="18"/>
                <w:lang w:val="bs-Latn-BA"/>
              </w:rPr>
            </w:pPr>
            <w:r w:rsidRPr="00767812">
              <w:rPr>
                <w:rFonts w:cs="Arial"/>
                <w:color w:val="000000"/>
                <w:sz w:val="18"/>
                <w:lang w:val="bs-Latn-BA"/>
              </w:rPr>
              <w:t>1</w:t>
            </w:r>
            <w:r w:rsidR="006E3A6F">
              <w:rPr>
                <w:rFonts w:cs="Arial"/>
                <w:color w:val="000000"/>
                <w:sz w:val="18"/>
                <w:lang w:val="bs-Latn-BA"/>
              </w:rPr>
              <w:t>.</w:t>
            </w:r>
            <w:r w:rsidRPr="00767812">
              <w:rPr>
                <w:rFonts w:cs="Arial"/>
                <w:color w:val="000000"/>
                <w:sz w:val="18"/>
                <w:lang w:val="bs-Latn-BA"/>
              </w:rPr>
              <w:t>004</w:t>
            </w:r>
          </w:p>
        </w:tc>
      </w:tr>
      <w:tr w:rsidR="00A6124E" w:rsidRPr="00373F67" w:rsidTr="00A132D8">
        <w:trPr>
          <w:cnfStyle w:val="000000100000"/>
          <w:trHeight w:val="261"/>
          <w:jc w:val="center"/>
        </w:trPr>
        <w:tc>
          <w:tcPr>
            <w:cnfStyle w:val="001000000000"/>
            <w:tcW w:w="1423" w:type="dxa"/>
          </w:tcPr>
          <w:p w:rsidR="00A6124E" w:rsidRPr="00767812" w:rsidRDefault="00A6124E" w:rsidP="005E3980">
            <w:pPr>
              <w:jc w:val="both"/>
              <w:rPr>
                <w:rFonts w:cs="Arial"/>
                <w:b w:val="0"/>
                <w:bCs w:val="0"/>
                <w:color w:val="000000" w:themeColor="text1"/>
                <w:sz w:val="18"/>
                <w:lang w:val="bs-Latn-BA"/>
              </w:rPr>
            </w:pPr>
            <w:r w:rsidRPr="00767812">
              <w:rPr>
                <w:rFonts w:cs="Arial"/>
                <w:b w:val="0"/>
                <w:bCs w:val="0"/>
                <w:color w:val="000000" w:themeColor="text1"/>
                <w:sz w:val="18"/>
                <w:lang w:val="bs-Latn-BA"/>
              </w:rPr>
              <w:t>2016.</w:t>
            </w:r>
          </w:p>
        </w:tc>
        <w:tc>
          <w:tcPr>
            <w:tcW w:w="978" w:type="dxa"/>
          </w:tcPr>
          <w:p w:rsidR="00A6124E" w:rsidRPr="00767812" w:rsidRDefault="00A6124E" w:rsidP="005E3980">
            <w:pPr>
              <w:jc w:val="center"/>
              <w:cnfStyle w:val="000000100000"/>
              <w:rPr>
                <w:rFonts w:cs="Arial"/>
                <w:color w:val="000000" w:themeColor="text1"/>
                <w:sz w:val="18"/>
                <w:lang w:val="bs-Latn-BA"/>
              </w:rPr>
            </w:pPr>
            <w:r w:rsidRPr="00767812">
              <w:rPr>
                <w:rFonts w:cs="Arial"/>
                <w:color w:val="000000" w:themeColor="text1"/>
                <w:sz w:val="18"/>
                <w:lang w:val="bs-Latn-BA"/>
              </w:rPr>
              <w:t>1</w:t>
            </w:r>
            <w:r w:rsidR="006E3A6F">
              <w:rPr>
                <w:rFonts w:cs="Arial"/>
                <w:color w:val="000000" w:themeColor="text1"/>
                <w:sz w:val="18"/>
                <w:lang w:val="bs-Latn-BA"/>
              </w:rPr>
              <w:t>.</w:t>
            </w:r>
            <w:r w:rsidRPr="00767812">
              <w:rPr>
                <w:rFonts w:cs="Arial"/>
                <w:color w:val="000000" w:themeColor="text1"/>
                <w:sz w:val="18"/>
                <w:lang w:val="bs-Latn-BA"/>
              </w:rPr>
              <w:t>008</w:t>
            </w:r>
          </w:p>
        </w:tc>
        <w:tc>
          <w:tcPr>
            <w:tcW w:w="1687" w:type="dxa"/>
          </w:tcPr>
          <w:p w:rsidR="00A6124E" w:rsidRPr="00767812" w:rsidRDefault="00A6124E" w:rsidP="005E3980">
            <w:pPr>
              <w:jc w:val="center"/>
              <w:cnfStyle w:val="000000100000"/>
              <w:rPr>
                <w:rFonts w:cs="Arial"/>
                <w:color w:val="000000"/>
                <w:sz w:val="18"/>
                <w:lang w:val="bs-Latn-BA"/>
              </w:rPr>
            </w:pPr>
            <w:r w:rsidRPr="00767812">
              <w:rPr>
                <w:rFonts w:cs="Arial"/>
                <w:color w:val="000000"/>
                <w:sz w:val="18"/>
                <w:lang w:val="bs-Latn-BA"/>
              </w:rPr>
              <w:t>1</w:t>
            </w:r>
            <w:r w:rsidR="006E3A6F">
              <w:rPr>
                <w:rFonts w:cs="Arial"/>
                <w:color w:val="000000"/>
                <w:sz w:val="18"/>
                <w:lang w:val="bs-Latn-BA"/>
              </w:rPr>
              <w:t>.</w:t>
            </w:r>
            <w:r w:rsidRPr="00767812">
              <w:rPr>
                <w:rFonts w:cs="Arial"/>
                <w:color w:val="000000"/>
                <w:sz w:val="18"/>
                <w:lang w:val="bs-Latn-BA"/>
              </w:rPr>
              <w:t>854</w:t>
            </w:r>
          </w:p>
        </w:tc>
        <w:tc>
          <w:tcPr>
            <w:tcW w:w="1828" w:type="dxa"/>
          </w:tcPr>
          <w:p w:rsidR="00A6124E" w:rsidRPr="00767812" w:rsidRDefault="00A6124E" w:rsidP="005E3980">
            <w:pPr>
              <w:jc w:val="center"/>
              <w:cnfStyle w:val="000000100000"/>
              <w:rPr>
                <w:rFonts w:cs="Arial"/>
                <w:color w:val="000000"/>
                <w:sz w:val="18"/>
                <w:lang w:val="bs-Latn-BA"/>
              </w:rPr>
            </w:pPr>
            <w:r w:rsidRPr="00767812">
              <w:rPr>
                <w:rFonts w:cs="Arial"/>
                <w:color w:val="000000"/>
                <w:sz w:val="18"/>
                <w:lang w:val="bs-Latn-BA"/>
              </w:rPr>
              <w:t>864</w:t>
            </w:r>
          </w:p>
        </w:tc>
        <w:tc>
          <w:tcPr>
            <w:tcW w:w="1975" w:type="dxa"/>
            <w:gridSpan w:val="2"/>
          </w:tcPr>
          <w:p w:rsidR="00A6124E" w:rsidRPr="00767812" w:rsidRDefault="00A6124E" w:rsidP="005E3980">
            <w:pPr>
              <w:jc w:val="center"/>
              <w:cnfStyle w:val="000000100000"/>
              <w:rPr>
                <w:rFonts w:cs="Arial"/>
                <w:color w:val="000000"/>
                <w:sz w:val="18"/>
                <w:lang w:val="bs-Latn-BA"/>
              </w:rPr>
            </w:pPr>
            <w:r w:rsidRPr="00767812">
              <w:rPr>
                <w:rFonts w:cs="Arial"/>
                <w:color w:val="000000"/>
                <w:sz w:val="18"/>
                <w:lang w:val="bs-Latn-BA"/>
              </w:rPr>
              <w:t>990</w:t>
            </w:r>
          </w:p>
        </w:tc>
      </w:tr>
      <w:tr w:rsidR="00A6124E" w:rsidRPr="00373F67" w:rsidTr="00AA426D">
        <w:trPr>
          <w:trHeight w:val="246"/>
          <w:jc w:val="center"/>
        </w:trPr>
        <w:tc>
          <w:tcPr>
            <w:cnfStyle w:val="001000000000"/>
            <w:tcW w:w="1423" w:type="dxa"/>
            <w:tcBorders>
              <w:bottom w:val="single" w:sz="4" w:space="0" w:color="7F7F7F" w:themeColor="text1" w:themeTint="80"/>
            </w:tcBorders>
          </w:tcPr>
          <w:p w:rsidR="00A6124E" w:rsidRPr="00767812" w:rsidRDefault="00A6124E" w:rsidP="005E3980">
            <w:pPr>
              <w:jc w:val="both"/>
              <w:rPr>
                <w:rFonts w:cs="Arial"/>
                <w:b w:val="0"/>
                <w:bCs w:val="0"/>
                <w:color w:val="000000" w:themeColor="text1"/>
                <w:sz w:val="18"/>
                <w:lang w:val="bs-Latn-BA"/>
              </w:rPr>
            </w:pPr>
            <w:r w:rsidRPr="00767812">
              <w:rPr>
                <w:rFonts w:cs="Arial"/>
                <w:b w:val="0"/>
                <w:bCs w:val="0"/>
                <w:color w:val="000000" w:themeColor="text1"/>
                <w:sz w:val="18"/>
                <w:lang w:val="bs-Latn-BA"/>
              </w:rPr>
              <w:t>2018.</w:t>
            </w:r>
          </w:p>
        </w:tc>
        <w:tc>
          <w:tcPr>
            <w:tcW w:w="978" w:type="dxa"/>
            <w:tcBorders>
              <w:bottom w:val="single" w:sz="4" w:space="0" w:color="7F7F7F" w:themeColor="text1" w:themeTint="80"/>
            </w:tcBorders>
          </w:tcPr>
          <w:p w:rsidR="00A6124E" w:rsidRPr="00767812" w:rsidRDefault="00A6124E" w:rsidP="005E3980">
            <w:pPr>
              <w:jc w:val="center"/>
              <w:cnfStyle w:val="000000000000"/>
              <w:rPr>
                <w:rFonts w:cs="Arial"/>
                <w:color w:val="000000" w:themeColor="text1"/>
                <w:sz w:val="18"/>
                <w:lang w:val="bs-Latn-BA"/>
              </w:rPr>
            </w:pPr>
            <w:r w:rsidRPr="00767812">
              <w:rPr>
                <w:rFonts w:cs="Arial"/>
                <w:color w:val="000000" w:themeColor="text1"/>
                <w:sz w:val="18"/>
                <w:lang w:val="bs-Latn-BA"/>
              </w:rPr>
              <w:t>1</w:t>
            </w:r>
            <w:r w:rsidR="006E3A6F">
              <w:rPr>
                <w:rFonts w:cs="Arial"/>
                <w:color w:val="000000" w:themeColor="text1"/>
                <w:sz w:val="18"/>
                <w:lang w:val="bs-Latn-BA"/>
              </w:rPr>
              <w:t>.</w:t>
            </w:r>
            <w:r w:rsidRPr="00767812">
              <w:rPr>
                <w:rFonts w:cs="Arial"/>
                <w:color w:val="000000" w:themeColor="text1"/>
                <w:sz w:val="18"/>
                <w:lang w:val="bs-Latn-BA"/>
              </w:rPr>
              <w:t>000</w:t>
            </w:r>
          </w:p>
        </w:tc>
        <w:tc>
          <w:tcPr>
            <w:tcW w:w="1687" w:type="dxa"/>
            <w:tcBorders>
              <w:bottom w:val="single" w:sz="4" w:space="0" w:color="7F7F7F" w:themeColor="text1" w:themeTint="80"/>
            </w:tcBorders>
          </w:tcPr>
          <w:p w:rsidR="00A6124E" w:rsidRPr="00767812" w:rsidRDefault="00A6124E" w:rsidP="005E3980">
            <w:pPr>
              <w:jc w:val="center"/>
              <w:cnfStyle w:val="000000000000"/>
              <w:rPr>
                <w:rFonts w:cs="Arial"/>
                <w:color w:val="000000"/>
                <w:sz w:val="18"/>
                <w:lang w:val="bs-Latn-BA"/>
              </w:rPr>
            </w:pPr>
            <w:r w:rsidRPr="00767812">
              <w:rPr>
                <w:rFonts w:cs="Arial"/>
                <w:color w:val="000000"/>
                <w:sz w:val="18"/>
                <w:lang w:val="bs-Latn-BA"/>
              </w:rPr>
              <w:t>2</w:t>
            </w:r>
            <w:r w:rsidR="006E3A6F">
              <w:rPr>
                <w:rFonts w:cs="Arial"/>
                <w:color w:val="000000"/>
                <w:sz w:val="18"/>
                <w:lang w:val="bs-Latn-BA"/>
              </w:rPr>
              <w:t>.</w:t>
            </w:r>
            <w:r w:rsidRPr="00767812">
              <w:rPr>
                <w:rFonts w:cs="Arial"/>
                <w:color w:val="000000"/>
                <w:sz w:val="18"/>
                <w:lang w:val="bs-Latn-BA"/>
              </w:rPr>
              <w:t>421</w:t>
            </w:r>
          </w:p>
        </w:tc>
        <w:tc>
          <w:tcPr>
            <w:tcW w:w="1828" w:type="dxa"/>
            <w:tcBorders>
              <w:bottom w:val="single" w:sz="4" w:space="0" w:color="7F7F7F" w:themeColor="text1" w:themeTint="80"/>
            </w:tcBorders>
          </w:tcPr>
          <w:p w:rsidR="00A6124E" w:rsidRPr="00767812" w:rsidRDefault="00A6124E" w:rsidP="005E3980">
            <w:pPr>
              <w:jc w:val="center"/>
              <w:cnfStyle w:val="000000000000"/>
              <w:rPr>
                <w:rFonts w:cs="Arial"/>
                <w:color w:val="000000"/>
                <w:sz w:val="18"/>
                <w:lang w:val="bs-Latn-BA"/>
              </w:rPr>
            </w:pPr>
            <w:r w:rsidRPr="00767812">
              <w:rPr>
                <w:rFonts w:cs="Arial"/>
                <w:color w:val="000000"/>
                <w:sz w:val="18"/>
                <w:lang w:val="bs-Latn-BA"/>
              </w:rPr>
              <w:t>1</w:t>
            </w:r>
            <w:r w:rsidR="006E3A6F">
              <w:rPr>
                <w:rFonts w:cs="Arial"/>
                <w:color w:val="000000"/>
                <w:sz w:val="18"/>
                <w:lang w:val="bs-Latn-BA"/>
              </w:rPr>
              <w:t>.</w:t>
            </w:r>
            <w:r w:rsidRPr="00767812">
              <w:rPr>
                <w:rFonts w:cs="Arial"/>
                <w:color w:val="000000"/>
                <w:sz w:val="18"/>
                <w:lang w:val="bs-Latn-BA"/>
              </w:rPr>
              <w:t>003</w:t>
            </w:r>
          </w:p>
        </w:tc>
        <w:tc>
          <w:tcPr>
            <w:tcW w:w="1975" w:type="dxa"/>
            <w:gridSpan w:val="2"/>
            <w:tcBorders>
              <w:bottom w:val="single" w:sz="4" w:space="0" w:color="7F7F7F" w:themeColor="text1" w:themeTint="80"/>
            </w:tcBorders>
          </w:tcPr>
          <w:p w:rsidR="00A6124E" w:rsidRPr="00767812" w:rsidRDefault="00A6124E" w:rsidP="005E3980">
            <w:pPr>
              <w:jc w:val="center"/>
              <w:cnfStyle w:val="000000000000"/>
              <w:rPr>
                <w:rFonts w:cs="Arial"/>
                <w:color w:val="000000"/>
                <w:sz w:val="18"/>
                <w:lang w:val="bs-Latn-BA"/>
              </w:rPr>
            </w:pPr>
            <w:r w:rsidRPr="00767812">
              <w:rPr>
                <w:rFonts w:cs="Arial"/>
                <w:color w:val="000000"/>
                <w:sz w:val="18"/>
                <w:lang w:val="bs-Latn-BA"/>
              </w:rPr>
              <w:t>1</w:t>
            </w:r>
            <w:r w:rsidR="006E3A6F">
              <w:rPr>
                <w:rFonts w:cs="Arial"/>
                <w:color w:val="000000"/>
                <w:sz w:val="18"/>
                <w:lang w:val="bs-Latn-BA"/>
              </w:rPr>
              <w:t>.</w:t>
            </w:r>
            <w:r w:rsidRPr="00767812">
              <w:rPr>
                <w:rFonts w:cs="Arial"/>
                <w:color w:val="000000"/>
                <w:sz w:val="18"/>
                <w:lang w:val="bs-Latn-BA"/>
              </w:rPr>
              <w:t>418</w:t>
            </w:r>
          </w:p>
        </w:tc>
      </w:tr>
      <w:tr w:rsidR="00A6124E" w:rsidRPr="00373F67" w:rsidTr="00AA426D">
        <w:trPr>
          <w:cnfStyle w:val="000000100000"/>
          <w:trHeight w:val="246"/>
          <w:jc w:val="center"/>
        </w:trPr>
        <w:tc>
          <w:tcPr>
            <w:cnfStyle w:val="001000000000"/>
            <w:tcW w:w="1423" w:type="dxa"/>
            <w:tcBorders>
              <w:bottom w:val="single" w:sz="4" w:space="0" w:color="A6A6A6" w:themeColor="background1" w:themeShade="A6"/>
            </w:tcBorders>
          </w:tcPr>
          <w:p w:rsidR="00A6124E" w:rsidRPr="00767812" w:rsidRDefault="00A6124E" w:rsidP="005E3980">
            <w:pPr>
              <w:jc w:val="both"/>
              <w:rPr>
                <w:rFonts w:cs="Arial"/>
                <w:b w:val="0"/>
                <w:bCs w:val="0"/>
                <w:color w:val="000000" w:themeColor="text1"/>
                <w:sz w:val="18"/>
                <w:lang w:val="bs-Latn-BA"/>
              </w:rPr>
            </w:pPr>
            <w:r w:rsidRPr="00767812">
              <w:rPr>
                <w:rFonts w:cs="Arial"/>
                <w:b w:val="0"/>
                <w:bCs w:val="0"/>
                <w:color w:val="000000" w:themeColor="text1"/>
                <w:sz w:val="18"/>
                <w:lang w:val="bs-Latn-BA"/>
              </w:rPr>
              <w:t>2019.</w:t>
            </w:r>
          </w:p>
        </w:tc>
        <w:tc>
          <w:tcPr>
            <w:tcW w:w="978" w:type="dxa"/>
            <w:tcBorders>
              <w:bottom w:val="single" w:sz="4" w:space="0" w:color="A6A6A6" w:themeColor="background1" w:themeShade="A6"/>
            </w:tcBorders>
          </w:tcPr>
          <w:p w:rsidR="00A6124E" w:rsidRPr="00767812" w:rsidRDefault="00A6124E" w:rsidP="005E3980">
            <w:pPr>
              <w:jc w:val="center"/>
              <w:cnfStyle w:val="000000100000"/>
              <w:rPr>
                <w:rFonts w:cs="Arial"/>
                <w:color w:val="000000" w:themeColor="text1"/>
                <w:sz w:val="18"/>
                <w:lang w:val="bs-Latn-BA"/>
              </w:rPr>
            </w:pPr>
            <w:r w:rsidRPr="00767812">
              <w:rPr>
                <w:rFonts w:cs="Arial"/>
                <w:color w:val="000000" w:themeColor="text1"/>
                <w:sz w:val="18"/>
                <w:lang w:val="bs-Latn-BA"/>
              </w:rPr>
              <w:t>869</w:t>
            </w:r>
          </w:p>
        </w:tc>
        <w:tc>
          <w:tcPr>
            <w:tcW w:w="1687" w:type="dxa"/>
            <w:tcBorders>
              <w:bottom w:val="single" w:sz="4" w:space="0" w:color="A6A6A6" w:themeColor="background1" w:themeShade="A6"/>
            </w:tcBorders>
          </w:tcPr>
          <w:p w:rsidR="00A6124E" w:rsidRPr="00767812" w:rsidRDefault="00A6124E" w:rsidP="005E3980">
            <w:pPr>
              <w:jc w:val="center"/>
              <w:cnfStyle w:val="000000100000"/>
              <w:rPr>
                <w:rFonts w:cs="Arial"/>
                <w:color w:val="000000"/>
                <w:sz w:val="18"/>
                <w:lang w:val="bs-Latn-BA"/>
              </w:rPr>
            </w:pPr>
            <w:r w:rsidRPr="00767812">
              <w:rPr>
                <w:rFonts w:cs="Arial"/>
                <w:color w:val="000000"/>
                <w:sz w:val="18"/>
                <w:lang w:val="bs-Latn-BA"/>
              </w:rPr>
              <w:t>2</w:t>
            </w:r>
            <w:r w:rsidR="006E3A6F">
              <w:rPr>
                <w:rFonts w:cs="Arial"/>
                <w:color w:val="000000"/>
                <w:sz w:val="18"/>
                <w:lang w:val="bs-Latn-BA"/>
              </w:rPr>
              <w:t>.</w:t>
            </w:r>
            <w:r w:rsidRPr="00767812">
              <w:rPr>
                <w:rFonts w:cs="Arial"/>
                <w:color w:val="000000"/>
                <w:sz w:val="18"/>
                <w:lang w:val="bs-Latn-BA"/>
              </w:rPr>
              <w:t>381</w:t>
            </w:r>
          </w:p>
        </w:tc>
        <w:tc>
          <w:tcPr>
            <w:tcW w:w="1828" w:type="dxa"/>
            <w:tcBorders>
              <w:bottom w:val="single" w:sz="4" w:space="0" w:color="A6A6A6" w:themeColor="background1" w:themeShade="A6"/>
            </w:tcBorders>
          </w:tcPr>
          <w:p w:rsidR="00A6124E" w:rsidRPr="00767812" w:rsidRDefault="00A6124E" w:rsidP="005E3980">
            <w:pPr>
              <w:jc w:val="center"/>
              <w:cnfStyle w:val="000000100000"/>
              <w:rPr>
                <w:rFonts w:cs="Arial"/>
                <w:color w:val="000000"/>
                <w:sz w:val="18"/>
                <w:lang w:val="bs-Latn-BA"/>
              </w:rPr>
            </w:pPr>
            <w:r w:rsidRPr="00767812">
              <w:rPr>
                <w:rFonts w:cs="Arial"/>
                <w:color w:val="000000"/>
                <w:sz w:val="18"/>
                <w:lang w:val="bs-Latn-BA"/>
              </w:rPr>
              <w:t>1</w:t>
            </w:r>
            <w:r w:rsidR="006E3A6F">
              <w:rPr>
                <w:rFonts w:cs="Arial"/>
                <w:color w:val="000000"/>
                <w:sz w:val="18"/>
                <w:lang w:val="bs-Latn-BA"/>
              </w:rPr>
              <w:t>.</w:t>
            </w:r>
            <w:r w:rsidRPr="00767812">
              <w:rPr>
                <w:rFonts w:cs="Arial"/>
                <w:color w:val="000000"/>
                <w:sz w:val="18"/>
                <w:lang w:val="bs-Latn-BA"/>
              </w:rPr>
              <w:t>088</w:t>
            </w:r>
          </w:p>
        </w:tc>
        <w:tc>
          <w:tcPr>
            <w:tcW w:w="1975" w:type="dxa"/>
            <w:gridSpan w:val="2"/>
            <w:tcBorders>
              <w:bottom w:val="single" w:sz="4" w:space="0" w:color="A6A6A6" w:themeColor="background1" w:themeShade="A6"/>
            </w:tcBorders>
          </w:tcPr>
          <w:p w:rsidR="00A6124E" w:rsidRPr="00767812" w:rsidRDefault="00A6124E" w:rsidP="005E3980">
            <w:pPr>
              <w:jc w:val="center"/>
              <w:cnfStyle w:val="000000100000"/>
              <w:rPr>
                <w:rFonts w:cs="Arial"/>
                <w:color w:val="000000"/>
                <w:sz w:val="18"/>
                <w:lang w:val="bs-Latn-BA"/>
              </w:rPr>
            </w:pPr>
            <w:r w:rsidRPr="00767812">
              <w:rPr>
                <w:rFonts w:cs="Arial"/>
                <w:color w:val="000000"/>
                <w:sz w:val="18"/>
                <w:lang w:val="bs-Latn-BA"/>
              </w:rPr>
              <w:t>1</w:t>
            </w:r>
            <w:r w:rsidR="006E3A6F">
              <w:rPr>
                <w:rFonts w:cs="Arial"/>
                <w:color w:val="000000"/>
                <w:sz w:val="18"/>
                <w:lang w:val="bs-Latn-BA"/>
              </w:rPr>
              <w:t>.</w:t>
            </w:r>
            <w:r w:rsidRPr="00767812">
              <w:rPr>
                <w:rFonts w:cs="Arial"/>
                <w:color w:val="000000"/>
                <w:sz w:val="18"/>
                <w:lang w:val="bs-Latn-BA"/>
              </w:rPr>
              <w:t>293</w:t>
            </w:r>
          </w:p>
        </w:tc>
      </w:tr>
    </w:tbl>
    <w:p w:rsidR="00A6124E" w:rsidRPr="00373F67" w:rsidRDefault="00A6124E" w:rsidP="005E3980">
      <w:pPr>
        <w:jc w:val="right"/>
        <w:rPr>
          <w:i/>
          <w:iCs/>
          <w:sz w:val="18"/>
          <w:lang w:val="bs-Latn-BA"/>
        </w:rPr>
      </w:pPr>
      <w:r w:rsidRPr="00373F67">
        <w:rPr>
          <w:i/>
          <w:iCs/>
          <w:sz w:val="18"/>
          <w:lang w:val="bs-Latn-BA"/>
        </w:rPr>
        <w:t>Izvor: MONSTAT</w:t>
      </w:r>
    </w:p>
    <w:p w:rsidR="00A6124E" w:rsidRPr="00373F67" w:rsidRDefault="00A6124E" w:rsidP="005E3980">
      <w:pPr>
        <w:jc w:val="both"/>
        <w:rPr>
          <w:color w:val="000000" w:themeColor="text1"/>
          <w:sz w:val="22"/>
          <w:szCs w:val="22"/>
          <w:lang w:val="bs-Latn-BA"/>
        </w:rPr>
      </w:pPr>
    </w:p>
    <w:p w:rsidR="00A6124E" w:rsidRPr="00373F67" w:rsidRDefault="00A6124E" w:rsidP="005E3980">
      <w:pPr>
        <w:jc w:val="both"/>
        <w:rPr>
          <w:rFonts w:cs="Arial"/>
          <w:sz w:val="22"/>
          <w:szCs w:val="22"/>
          <w:lang w:val="bs-Latn-BA"/>
        </w:rPr>
      </w:pPr>
      <w:r w:rsidRPr="00373F67">
        <w:rPr>
          <w:rFonts w:cs="Arial"/>
          <w:sz w:val="22"/>
          <w:szCs w:val="22"/>
          <w:lang w:val="bs-Latn-BA"/>
        </w:rPr>
        <w:t xml:space="preserve">Uprkos značajnom povećanju populacije u periodu 2011-2019, broj djece upisane u osnovne škole je usporenije rastao, tako da je taj broj u 2019. </w:t>
      </w:r>
      <w:r w:rsidR="00580DC5">
        <w:rPr>
          <w:rFonts w:cs="Arial"/>
          <w:sz w:val="22"/>
          <w:szCs w:val="22"/>
          <w:lang w:val="bs-Latn-BA"/>
        </w:rPr>
        <w:t>g</w:t>
      </w:r>
      <w:r w:rsidRPr="00373F67">
        <w:rPr>
          <w:rFonts w:cs="Arial"/>
          <w:sz w:val="22"/>
          <w:szCs w:val="22"/>
          <w:lang w:val="bs-Latn-BA"/>
        </w:rPr>
        <w:t>odini bio za 1,4% veći u odnosu na 2011. godinu. Takođe, broj učenika po nastavniku je u Podgorici nešto veći u odnosu na prosjek Crne Gore (16,5 prema 13,6)</w:t>
      </w:r>
      <w:r w:rsidR="006E3A6F">
        <w:rPr>
          <w:rFonts w:cs="Arial"/>
          <w:sz w:val="22"/>
          <w:szCs w:val="22"/>
          <w:lang w:val="bs-Latn-BA"/>
        </w:rPr>
        <w:t>.</w:t>
      </w:r>
    </w:p>
    <w:p w:rsidR="00A6124E" w:rsidRPr="00373F67" w:rsidRDefault="00A6124E" w:rsidP="005E3980">
      <w:pPr>
        <w:rPr>
          <w:color w:val="000000" w:themeColor="text1"/>
          <w:sz w:val="22"/>
          <w:szCs w:val="22"/>
          <w:lang w:val="bs-Latn-BA"/>
        </w:rPr>
      </w:pPr>
    </w:p>
    <w:p w:rsidR="00A6124E" w:rsidRPr="00373F67" w:rsidRDefault="00A6124E" w:rsidP="005E3980">
      <w:pPr>
        <w:rPr>
          <w:color w:val="000000" w:themeColor="text1"/>
          <w:szCs w:val="20"/>
          <w:lang w:val="bs-Latn-BA"/>
        </w:rPr>
      </w:pPr>
      <w:r w:rsidRPr="00373F67">
        <w:rPr>
          <w:color w:val="000000" w:themeColor="text1"/>
          <w:szCs w:val="20"/>
          <w:lang w:val="bs-Latn-BA"/>
        </w:rPr>
        <w:t>Grafik 2. Broj djece upisane u osnovnu školu u Podgorici</w:t>
      </w:r>
    </w:p>
    <w:p w:rsidR="00A6124E" w:rsidRPr="00373F67" w:rsidRDefault="00A6124E" w:rsidP="005E3980">
      <w:pPr>
        <w:rPr>
          <w:i/>
          <w:iCs/>
          <w:sz w:val="22"/>
          <w:szCs w:val="22"/>
          <w:lang w:val="bs-Latn-BA"/>
        </w:rPr>
      </w:pPr>
    </w:p>
    <w:p w:rsidR="00A6124E" w:rsidRPr="00373F67" w:rsidRDefault="00CD262E" w:rsidP="005E3980">
      <w:pPr>
        <w:jc w:val="center"/>
        <w:rPr>
          <w:noProof/>
          <w:shd w:val="clear" w:color="auto" w:fill="F2F2F2" w:themeFill="background1" w:themeFillShade="F2"/>
          <w:lang w:val="bs-Latn-BA"/>
        </w:rPr>
      </w:pPr>
      <w:r>
        <w:rPr>
          <w:noProof/>
          <w:lang w:val="en-US"/>
        </w:rPr>
        <w:drawing>
          <wp:inline distT="0" distB="0" distL="0" distR="0">
            <wp:extent cx="4572000" cy="1817370"/>
            <wp:effectExtent l="0" t="0" r="0" b="0"/>
            <wp:docPr id="16" name="Grafikon 1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4A89AA1-3115-47F8-AEC6-03E32632A5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124E" w:rsidRPr="00373F67" w:rsidRDefault="00A6124E" w:rsidP="005E3980">
      <w:pPr>
        <w:ind w:left="7080"/>
        <w:rPr>
          <w:i/>
          <w:iCs/>
          <w:sz w:val="18"/>
          <w:lang w:val="bs-Latn-BA"/>
        </w:rPr>
      </w:pPr>
      <w:r w:rsidRPr="00373F67">
        <w:rPr>
          <w:i/>
          <w:iCs/>
          <w:sz w:val="18"/>
          <w:lang w:val="bs-Latn-BA"/>
        </w:rPr>
        <w:t>Izvor: MONSTAT</w:t>
      </w:r>
    </w:p>
    <w:p w:rsidR="00A6124E" w:rsidRPr="00373F67" w:rsidRDefault="00A6124E" w:rsidP="005E3980">
      <w:pPr>
        <w:rPr>
          <w:rFonts w:cs="Arial"/>
          <w:lang w:val="bs-Latn-BA"/>
        </w:rPr>
      </w:pPr>
    </w:p>
    <w:p w:rsidR="00A6124E" w:rsidRPr="00373F67" w:rsidRDefault="00A6124E" w:rsidP="005E3980">
      <w:pPr>
        <w:jc w:val="both"/>
        <w:rPr>
          <w:rFonts w:cs="Arial"/>
          <w:sz w:val="22"/>
          <w:szCs w:val="22"/>
        </w:rPr>
      </w:pPr>
      <w:r w:rsidRPr="00373F67">
        <w:rPr>
          <w:rFonts w:cs="Arial"/>
          <w:sz w:val="22"/>
          <w:szCs w:val="22"/>
          <w:lang w:val="bs-Latn-BA"/>
        </w:rPr>
        <w:t>Obrazovna struktura odraslog stanovništva je jedan od ključnih faktora za socio-ekonomski razvoj društva pa i lokalnog tržišta rada. Prema posljednjem popisu stanovništva Glavni grad Podgorica ima ne</w:t>
      </w:r>
      <w:r w:rsidRPr="00373F67">
        <w:rPr>
          <w:rFonts w:cs="Arial"/>
          <w:sz w:val="22"/>
          <w:szCs w:val="22"/>
        </w:rPr>
        <w:t>što drugačiju obrazovnu strukturu stanovništva u odnosu na Crnu Goru. To se prije svega odnosi na veće učešće osoba sa visokim obrazovanjem u odnosu na crnogorski prosjek. To učešće je za Podgoricu iznosilo 13,7%, dok je na nivou Crne Gore 9,9%. Takođe, nešto je veće učešće osoba sa srednjim obrazovanjem i magistraturom ili doktoratom, dok je sa druge strane manje učešće lica sa nižim nivoima obrazovanja. Tako je, prema podacima popisa učešće populacije sa osnovnim obrazovanjem u Podgorici 17,8%, dok je na nivou Crne Gore 20%. Takođe, učešće osoba sa nepotpunom osnovnom školom je znatno manj</w:t>
      </w:r>
      <w:r w:rsidR="00860D03">
        <w:rPr>
          <w:rFonts w:cs="Arial"/>
          <w:sz w:val="22"/>
          <w:szCs w:val="22"/>
        </w:rPr>
        <w:t>e</w:t>
      </w:r>
      <w:r w:rsidRPr="00373F67">
        <w:rPr>
          <w:rFonts w:cs="Arial"/>
          <w:sz w:val="22"/>
          <w:szCs w:val="22"/>
        </w:rPr>
        <w:t xml:space="preserve"> u Podgorici u odnosu na Crnu Goru (4,7% prema 7,3%). </w:t>
      </w:r>
    </w:p>
    <w:p w:rsidR="00580DC5" w:rsidRDefault="00580DC5" w:rsidP="00A6124E">
      <w:pPr>
        <w:rPr>
          <w:rFonts w:cs="Arial"/>
          <w:szCs w:val="20"/>
          <w:lang w:val="bs-Latn-BA"/>
        </w:rPr>
      </w:pPr>
    </w:p>
    <w:p w:rsidR="00A6124E" w:rsidRPr="00373F67" w:rsidRDefault="00A6124E" w:rsidP="00A6124E">
      <w:pPr>
        <w:rPr>
          <w:i/>
          <w:iCs/>
          <w:szCs w:val="20"/>
          <w:lang w:val="bs-Latn-BA"/>
        </w:rPr>
      </w:pPr>
      <w:r w:rsidRPr="00373F67">
        <w:rPr>
          <w:rFonts w:cs="Arial"/>
          <w:szCs w:val="20"/>
          <w:lang w:val="bs-Latn-BA"/>
        </w:rPr>
        <w:lastRenderedPageBreak/>
        <w:t xml:space="preserve">Tabela 2: </w:t>
      </w:r>
      <w:r w:rsidRPr="00373F67">
        <w:rPr>
          <w:i/>
          <w:iCs/>
          <w:szCs w:val="20"/>
          <w:lang w:val="bs-Latn-BA"/>
        </w:rPr>
        <w:t>Obrazovna struktura stanovništva (starosti 15 i više godina)</w:t>
      </w:r>
      <w:r w:rsidRPr="00373F67">
        <w:rPr>
          <w:rStyle w:val="FootnoteReference"/>
          <w:rFonts w:cs="Arial"/>
          <w:b/>
          <w:bCs/>
          <w:i/>
          <w:iCs/>
          <w:szCs w:val="20"/>
          <w:lang w:val="bs-Latn-BA"/>
        </w:rPr>
        <w:footnoteReference w:id="2"/>
      </w:r>
    </w:p>
    <w:p w:rsidR="00A6124E" w:rsidRPr="00373F67" w:rsidRDefault="00A6124E" w:rsidP="00A6124E">
      <w:pPr>
        <w:rPr>
          <w:rFonts w:cs="Arial"/>
          <w:lang w:val="bs-Latn-BA"/>
        </w:rPr>
      </w:pPr>
    </w:p>
    <w:tbl>
      <w:tblPr>
        <w:tblStyle w:val="PlainTable21"/>
        <w:tblW w:w="9050" w:type="dxa"/>
        <w:tblLook w:val="04A0"/>
      </w:tblPr>
      <w:tblGrid>
        <w:gridCol w:w="3476"/>
        <w:gridCol w:w="1393"/>
        <w:gridCol w:w="1216"/>
        <w:gridCol w:w="1674"/>
        <w:gridCol w:w="1291"/>
      </w:tblGrid>
      <w:tr w:rsidR="00A6124E" w:rsidRPr="00373F67" w:rsidTr="00015EE9">
        <w:trPr>
          <w:cnfStyle w:val="100000000000"/>
          <w:trHeight w:val="261"/>
        </w:trPr>
        <w:tc>
          <w:tcPr>
            <w:cnfStyle w:val="001000000000"/>
            <w:tcW w:w="3476" w:type="dxa"/>
            <w:shd w:val="clear" w:color="auto" w:fill="FFD966" w:themeFill="accent4" w:themeFillTint="99"/>
            <w:hideMark/>
          </w:tcPr>
          <w:p w:rsidR="00A6124E" w:rsidRPr="00767812" w:rsidRDefault="00A6124E" w:rsidP="00A132D8">
            <w:pPr>
              <w:rPr>
                <w:rFonts w:eastAsia="Times New Roman" w:cs="Calibri"/>
                <w:b w:val="0"/>
                <w:bCs w:val="0"/>
                <w:color w:val="000000"/>
                <w:sz w:val="18"/>
                <w:lang w:val="bs-Latn-BA" w:eastAsia="sl-SI"/>
              </w:rPr>
            </w:pPr>
            <w:r w:rsidRPr="00767812">
              <w:rPr>
                <w:rFonts w:eastAsia="Times New Roman" w:cs="Arial"/>
                <w:b w:val="0"/>
                <w:bCs w:val="0"/>
                <w:color w:val="000000"/>
                <w:sz w:val="18"/>
                <w:lang w:val="bs-Latn-BA" w:eastAsia="sl-SI"/>
              </w:rPr>
              <w:t>Stepen obrazovanja</w:t>
            </w:r>
          </w:p>
        </w:tc>
        <w:tc>
          <w:tcPr>
            <w:tcW w:w="1393" w:type="dxa"/>
            <w:shd w:val="clear" w:color="auto" w:fill="FFD966" w:themeFill="accent4" w:themeFillTint="99"/>
            <w:hideMark/>
          </w:tcPr>
          <w:p w:rsidR="00A6124E" w:rsidRPr="00767812" w:rsidRDefault="00A6124E" w:rsidP="00A132D8">
            <w:pPr>
              <w:jc w:val="center"/>
              <w:cnfStyle w:val="100000000000"/>
              <w:rPr>
                <w:rFonts w:eastAsia="Times New Roman" w:cs="Calibri"/>
                <w:b w:val="0"/>
                <w:bCs w:val="0"/>
                <w:color w:val="000000"/>
                <w:sz w:val="18"/>
                <w:lang w:val="bs-Latn-BA" w:eastAsia="sl-SI"/>
              </w:rPr>
            </w:pPr>
            <w:r w:rsidRPr="00767812">
              <w:rPr>
                <w:rFonts w:eastAsia="Times New Roman" w:cs="Calibri"/>
                <w:b w:val="0"/>
                <w:bCs w:val="0"/>
                <w:color w:val="000000"/>
                <w:sz w:val="18"/>
                <w:lang w:val="bs-Latn-BA" w:eastAsia="sl-SI"/>
              </w:rPr>
              <w:t>Podgorica</w:t>
            </w:r>
          </w:p>
        </w:tc>
        <w:tc>
          <w:tcPr>
            <w:tcW w:w="1216" w:type="dxa"/>
            <w:shd w:val="clear" w:color="auto" w:fill="FFD966" w:themeFill="accent4" w:themeFillTint="99"/>
            <w:hideMark/>
          </w:tcPr>
          <w:p w:rsidR="00A6124E" w:rsidRPr="00767812" w:rsidRDefault="00A6124E" w:rsidP="00A132D8">
            <w:pPr>
              <w:jc w:val="center"/>
              <w:cnfStyle w:val="100000000000"/>
              <w:rPr>
                <w:rFonts w:eastAsia="Times New Roman" w:cs="Calibri"/>
                <w:b w:val="0"/>
                <w:bCs w:val="0"/>
                <w:color w:val="000000"/>
                <w:sz w:val="18"/>
                <w:lang w:val="bs-Latn-BA" w:eastAsia="sl-SI"/>
              </w:rPr>
            </w:pPr>
            <w:r w:rsidRPr="00767812">
              <w:rPr>
                <w:rFonts w:eastAsia="Times New Roman" w:cs="Arial"/>
                <w:b w:val="0"/>
                <w:bCs w:val="0"/>
                <w:sz w:val="18"/>
                <w:lang w:val="bs-Latn-BA" w:eastAsia="sl-SI"/>
              </w:rPr>
              <w:t>%</w:t>
            </w:r>
          </w:p>
        </w:tc>
        <w:tc>
          <w:tcPr>
            <w:tcW w:w="1674" w:type="dxa"/>
            <w:shd w:val="clear" w:color="auto" w:fill="FFD966" w:themeFill="accent4" w:themeFillTint="99"/>
            <w:hideMark/>
          </w:tcPr>
          <w:p w:rsidR="00A6124E" w:rsidRPr="00767812" w:rsidRDefault="00A6124E" w:rsidP="00A132D8">
            <w:pPr>
              <w:jc w:val="center"/>
              <w:cnfStyle w:val="100000000000"/>
              <w:rPr>
                <w:rFonts w:eastAsia="Times New Roman" w:cs="Calibri"/>
                <w:b w:val="0"/>
                <w:bCs w:val="0"/>
                <w:color w:val="000000"/>
                <w:sz w:val="18"/>
                <w:lang w:val="bs-Latn-BA" w:eastAsia="sl-SI"/>
              </w:rPr>
            </w:pPr>
            <w:r w:rsidRPr="00767812">
              <w:rPr>
                <w:rFonts w:eastAsia="Times New Roman" w:cs="Arial"/>
                <w:b w:val="0"/>
                <w:bCs w:val="0"/>
                <w:sz w:val="18"/>
                <w:lang w:val="bs-Latn-BA" w:eastAsia="sl-SI"/>
              </w:rPr>
              <w:t>Crna Gora</w:t>
            </w:r>
          </w:p>
        </w:tc>
        <w:tc>
          <w:tcPr>
            <w:tcW w:w="1291" w:type="dxa"/>
            <w:shd w:val="clear" w:color="auto" w:fill="FFD966" w:themeFill="accent4" w:themeFillTint="99"/>
            <w:hideMark/>
          </w:tcPr>
          <w:p w:rsidR="00A6124E" w:rsidRPr="00767812" w:rsidRDefault="00A6124E" w:rsidP="00A132D8">
            <w:pPr>
              <w:jc w:val="center"/>
              <w:cnfStyle w:val="100000000000"/>
              <w:rPr>
                <w:rFonts w:eastAsia="Times New Roman" w:cs="Calibri"/>
                <w:b w:val="0"/>
                <w:bCs w:val="0"/>
                <w:color w:val="000000"/>
                <w:sz w:val="18"/>
                <w:lang w:val="bs-Latn-BA" w:eastAsia="sl-SI"/>
              </w:rPr>
            </w:pPr>
            <w:r w:rsidRPr="00767812">
              <w:rPr>
                <w:rFonts w:eastAsia="Times New Roman" w:cs="Calibri"/>
                <w:b w:val="0"/>
                <w:bCs w:val="0"/>
                <w:color w:val="000000"/>
                <w:sz w:val="18"/>
                <w:lang w:val="bs-Latn-BA" w:eastAsia="sl-SI"/>
              </w:rPr>
              <w:t>%</w:t>
            </w:r>
          </w:p>
        </w:tc>
      </w:tr>
      <w:tr w:rsidR="00A6124E" w:rsidRPr="00373F67" w:rsidTr="005E3980">
        <w:trPr>
          <w:cnfStyle w:val="000000100000"/>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Calibri"/>
                <w:b w:val="0"/>
                <w:bCs w:val="0"/>
                <w:color w:val="000000"/>
                <w:sz w:val="18"/>
                <w:lang w:val="bs-Latn-BA" w:eastAsia="sl-SI"/>
              </w:rPr>
              <w:t>Bez školske spreme</w:t>
            </w:r>
          </w:p>
        </w:tc>
        <w:tc>
          <w:tcPr>
            <w:tcW w:w="1393" w:type="dxa"/>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3</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300</w:t>
            </w:r>
          </w:p>
        </w:tc>
        <w:tc>
          <w:tcPr>
            <w:tcW w:w="1216" w:type="dxa"/>
            <w:vAlign w:val="bottom"/>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cs="Calibri"/>
                <w:color w:val="000000"/>
                <w:sz w:val="18"/>
                <w:lang w:val="bs-Latn-BA"/>
              </w:rPr>
              <w:t>2.2</w:t>
            </w:r>
          </w:p>
        </w:tc>
        <w:tc>
          <w:tcPr>
            <w:tcW w:w="1674"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11</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324</w:t>
            </w:r>
          </w:p>
        </w:tc>
        <w:tc>
          <w:tcPr>
            <w:tcW w:w="1291"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2,3</w:t>
            </w:r>
          </w:p>
        </w:tc>
      </w:tr>
      <w:tr w:rsidR="00A6124E" w:rsidRPr="00373F67" w:rsidTr="005E3980">
        <w:trPr>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Calibri"/>
                <w:b w:val="0"/>
                <w:bCs w:val="0"/>
                <w:color w:val="000000"/>
                <w:sz w:val="18"/>
                <w:lang w:val="bs-Latn-BA" w:eastAsia="sl-SI"/>
              </w:rPr>
              <w:t>Nepotpuna osnovna škola</w:t>
            </w:r>
          </w:p>
        </w:tc>
        <w:tc>
          <w:tcPr>
            <w:tcW w:w="1393" w:type="dxa"/>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6</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897</w:t>
            </w:r>
          </w:p>
        </w:tc>
        <w:tc>
          <w:tcPr>
            <w:tcW w:w="1216" w:type="dxa"/>
            <w:vAlign w:val="bottom"/>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cs="Calibri"/>
                <w:color w:val="000000"/>
                <w:sz w:val="18"/>
                <w:lang w:val="bs-Latn-BA"/>
              </w:rPr>
              <w:t>4.7</w:t>
            </w:r>
          </w:p>
        </w:tc>
        <w:tc>
          <w:tcPr>
            <w:tcW w:w="1674"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36</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783</w:t>
            </w:r>
          </w:p>
        </w:tc>
        <w:tc>
          <w:tcPr>
            <w:tcW w:w="1291"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7,3</w:t>
            </w:r>
          </w:p>
        </w:tc>
      </w:tr>
      <w:tr w:rsidR="00A6124E" w:rsidRPr="00373F67" w:rsidTr="005E3980">
        <w:trPr>
          <w:cnfStyle w:val="000000100000"/>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Calibri"/>
                <w:b w:val="0"/>
                <w:bCs w:val="0"/>
                <w:color w:val="000000"/>
                <w:sz w:val="18"/>
                <w:lang w:val="bs-Latn-BA" w:eastAsia="sl-SI"/>
              </w:rPr>
              <w:t>Osnovno obrazovanje</w:t>
            </w:r>
          </w:p>
        </w:tc>
        <w:tc>
          <w:tcPr>
            <w:tcW w:w="1393" w:type="dxa"/>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26</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369</w:t>
            </w:r>
          </w:p>
        </w:tc>
        <w:tc>
          <w:tcPr>
            <w:tcW w:w="1216" w:type="dxa"/>
            <w:vAlign w:val="bottom"/>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cs="Calibri"/>
                <w:color w:val="000000"/>
                <w:sz w:val="18"/>
                <w:lang w:val="bs-Latn-BA"/>
              </w:rPr>
              <w:t>17.8</w:t>
            </w:r>
          </w:p>
        </w:tc>
        <w:tc>
          <w:tcPr>
            <w:tcW w:w="1674"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104</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415</w:t>
            </w:r>
          </w:p>
        </w:tc>
        <w:tc>
          <w:tcPr>
            <w:tcW w:w="1291"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20</w:t>
            </w:r>
          </w:p>
        </w:tc>
      </w:tr>
      <w:tr w:rsidR="00A6124E" w:rsidRPr="00373F67" w:rsidTr="005E3980">
        <w:trPr>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Calibri"/>
                <w:b w:val="0"/>
                <w:bCs w:val="0"/>
                <w:color w:val="000000"/>
                <w:sz w:val="18"/>
                <w:lang w:val="bs-Latn-BA" w:eastAsia="sl-SI"/>
              </w:rPr>
              <w:t>Srednje obrazovanje</w:t>
            </w:r>
          </w:p>
        </w:tc>
        <w:tc>
          <w:tcPr>
            <w:tcW w:w="1393" w:type="dxa"/>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78</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461</w:t>
            </w:r>
          </w:p>
        </w:tc>
        <w:tc>
          <w:tcPr>
            <w:tcW w:w="1216" w:type="dxa"/>
            <w:vAlign w:val="bottom"/>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cs="Calibri"/>
                <w:color w:val="000000"/>
                <w:sz w:val="18"/>
                <w:lang w:val="bs-Latn-BA"/>
              </w:rPr>
              <w:t>53.0</w:t>
            </w:r>
          </w:p>
        </w:tc>
        <w:tc>
          <w:tcPr>
            <w:tcW w:w="1674"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260</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277</w:t>
            </w:r>
          </w:p>
        </w:tc>
        <w:tc>
          <w:tcPr>
            <w:tcW w:w="1291"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51,9</w:t>
            </w:r>
          </w:p>
        </w:tc>
      </w:tr>
      <w:tr w:rsidR="00A6124E" w:rsidRPr="00373F67" w:rsidTr="005E3980">
        <w:trPr>
          <w:cnfStyle w:val="000000100000"/>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Calibri"/>
                <w:b w:val="0"/>
                <w:bCs w:val="0"/>
                <w:color w:val="000000"/>
                <w:sz w:val="18"/>
                <w:lang w:val="bs-Latn-BA" w:eastAsia="sl-SI"/>
              </w:rPr>
              <w:t>Više obrazovanje</w:t>
            </w:r>
          </w:p>
        </w:tc>
        <w:tc>
          <w:tcPr>
            <w:tcW w:w="1393" w:type="dxa"/>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6</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822</w:t>
            </w:r>
          </w:p>
        </w:tc>
        <w:tc>
          <w:tcPr>
            <w:tcW w:w="1216" w:type="dxa"/>
            <w:vAlign w:val="bottom"/>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cs="Calibri"/>
                <w:color w:val="000000"/>
                <w:sz w:val="18"/>
                <w:lang w:val="bs-Latn-BA"/>
              </w:rPr>
              <w:t>4.6</w:t>
            </w:r>
          </w:p>
        </w:tc>
        <w:tc>
          <w:tcPr>
            <w:tcW w:w="1674"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26</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170</w:t>
            </w:r>
          </w:p>
        </w:tc>
        <w:tc>
          <w:tcPr>
            <w:tcW w:w="1291"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5,2</w:t>
            </w:r>
          </w:p>
        </w:tc>
      </w:tr>
      <w:tr w:rsidR="00A6124E" w:rsidRPr="00373F67" w:rsidTr="005E3980">
        <w:trPr>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Arial"/>
                <w:b w:val="0"/>
                <w:bCs w:val="0"/>
                <w:color w:val="000000"/>
                <w:sz w:val="18"/>
                <w:lang w:val="bs-Latn-BA" w:eastAsia="sl-SI"/>
              </w:rPr>
              <w:t>Visoko obrazovanje</w:t>
            </w:r>
          </w:p>
        </w:tc>
        <w:tc>
          <w:tcPr>
            <w:tcW w:w="1393" w:type="dxa"/>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20</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311</w:t>
            </w:r>
          </w:p>
        </w:tc>
        <w:tc>
          <w:tcPr>
            <w:tcW w:w="1216" w:type="dxa"/>
            <w:vAlign w:val="bottom"/>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cs="Calibri"/>
                <w:color w:val="000000"/>
                <w:sz w:val="18"/>
                <w:lang w:val="bs-Latn-BA"/>
              </w:rPr>
              <w:t>13.7</w:t>
            </w:r>
          </w:p>
        </w:tc>
        <w:tc>
          <w:tcPr>
            <w:tcW w:w="1674"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Arial"/>
                <w:color w:val="000000"/>
                <w:sz w:val="18"/>
                <w:lang w:val="bs-Latn-BA" w:eastAsia="sl-SI"/>
              </w:rPr>
              <w:t>49</w:t>
            </w:r>
            <w:r w:rsidR="00CD262E">
              <w:rPr>
                <w:rFonts w:eastAsia="Times New Roman" w:cs="Arial"/>
                <w:color w:val="000000"/>
                <w:sz w:val="18"/>
                <w:lang w:val="bs-Latn-BA" w:eastAsia="sl-SI"/>
              </w:rPr>
              <w:t>.</w:t>
            </w:r>
            <w:r w:rsidRPr="00373F67">
              <w:rPr>
                <w:rFonts w:eastAsia="Times New Roman" w:cs="Arial"/>
                <w:color w:val="000000"/>
                <w:sz w:val="18"/>
                <w:lang w:val="bs-Latn-BA" w:eastAsia="sl-SI"/>
              </w:rPr>
              <w:t>469</w:t>
            </w:r>
          </w:p>
        </w:tc>
        <w:tc>
          <w:tcPr>
            <w:tcW w:w="1291"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Arial"/>
                <w:color w:val="000000"/>
                <w:sz w:val="18"/>
                <w:lang w:val="bs-Latn-BA" w:eastAsia="sl-SI"/>
              </w:rPr>
              <w:t>9,9</w:t>
            </w:r>
          </w:p>
        </w:tc>
      </w:tr>
      <w:tr w:rsidR="00A6124E" w:rsidRPr="00373F67" w:rsidTr="005E3980">
        <w:trPr>
          <w:cnfStyle w:val="000000100000"/>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Arial"/>
                <w:b w:val="0"/>
                <w:bCs w:val="0"/>
                <w:color w:val="000000"/>
                <w:sz w:val="18"/>
                <w:lang w:val="bs-Latn-BA" w:eastAsia="sl-SI"/>
              </w:rPr>
              <w:t>Postdiplomske studije</w:t>
            </w:r>
          </w:p>
        </w:tc>
        <w:tc>
          <w:tcPr>
            <w:tcW w:w="1393" w:type="dxa"/>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1</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584</w:t>
            </w:r>
          </w:p>
        </w:tc>
        <w:tc>
          <w:tcPr>
            <w:tcW w:w="1216" w:type="dxa"/>
            <w:vAlign w:val="bottom"/>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cs="Calibri"/>
                <w:color w:val="000000"/>
                <w:sz w:val="18"/>
                <w:lang w:val="bs-Latn-BA"/>
              </w:rPr>
              <w:t>1.1</w:t>
            </w:r>
          </w:p>
        </w:tc>
        <w:tc>
          <w:tcPr>
            <w:tcW w:w="1674"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Arial"/>
                <w:color w:val="000000"/>
                <w:sz w:val="18"/>
                <w:lang w:val="bs-Latn-BA" w:eastAsia="sl-SI"/>
              </w:rPr>
              <w:t>3</w:t>
            </w:r>
            <w:r w:rsidR="00CD262E">
              <w:rPr>
                <w:rFonts w:eastAsia="Times New Roman" w:cs="Arial"/>
                <w:color w:val="000000"/>
                <w:sz w:val="18"/>
                <w:lang w:val="bs-Latn-BA" w:eastAsia="sl-SI"/>
              </w:rPr>
              <w:t>.</w:t>
            </w:r>
            <w:r w:rsidRPr="00373F67">
              <w:rPr>
                <w:rFonts w:eastAsia="Times New Roman" w:cs="Arial"/>
                <w:color w:val="000000"/>
                <w:sz w:val="18"/>
                <w:lang w:val="bs-Latn-BA" w:eastAsia="sl-SI"/>
              </w:rPr>
              <w:t>000</w:t>
            </w:r>
          </w:p>
        </w:tc>
        <w:tc>
          <w:tcPr>
            <w:tcW w:w="1291"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Arial"/>
                <w:color w:val="000000"/>
                <w:sz w:val="18"/>
                <w:lang w:val="bs-Latn-BA" w:eastAsia="sl-SI"/>
              </w:rPr>
              <w:t>0,6</w:t>
            </w:r>
          </w:p>
        </w:tc>
      </w:tr>
      <w:tr w:rsidR="00A6124E" w:rsidRPr="00373F67" w:rsidTr="005E3980">
        <w:trPr>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Arial"/>
                <w:b w:val="0"/>
                <w:bCs w:val="0"/>
                <w:color w:val="000000"/>
                <w:sz w:val="18"/>
                <w:lang w:val="bs-Latn-BA" w:eastAsia="sl-SI"/>
              </w:rPr>
              <w:t>Doktorat</w:t>
            </w:r>
          </w:p>
        </w:tc>
        <w:tc>
          <w:tcPr>
            <w:tcW w:w="1393" w:type="dxa"/>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611</w:t>
            </w:r>
          </w:p>
        </w:tc>
        <w:tc>
          <w:tcPr>
            <w:tcW w:w="1216" w:type="dxa"/>
            <w:vAlign w:val="bottom"/>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cs="Calibri"/>
                <w:color w:val="000000"/>
                <w:sz w:val="18"/>
                <w:lang w:val="bs-Latn-BA"/>
              </w:rPr>
              <w:t>0.4</w:t>
            </w:r>
          </w:p>
        </w:tc>
        <w:tc>
          <w:tcPr>
            <w:tcW w:w="1674"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Arial"/>
                <w:color w:val="000000"/>
                <w:sz w:val="18"/>
                <w:lang w:val="bs-Latn-BA" w:eastAsia="sl-SI"/>
              </w:rPr>
              <w:t>964</w:t>
            </w:r>
          </w:p>
        </w:tc>
        <w:tc>
          <w:tcPr>
            <w:tcW w:w="1291"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Arial"/>
                <w:color w:val="000000"/>
                <w:sz w:val="18"/>
                <w:lang w:val="bs-Latn-BA" w:eastAsia="sl-SI"/>
              </w:rPr>
              <w:t>0,2</w:t>
            </w:r>
          </w:p>
        </w:tc>
      </w:tr>
      <w:tr w:rsidR="00A6124E" w:rsidRPr="00373F67" w:rsidTr="005E3980">
        <w:trPr>
          <w:cnfStyle w:val="000000100000"/>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Arial"/>
                <w:b w:val="0"/>
                <w:bCs w:val="0"/>
                <w:color w:val="000000"/>
                <w:sz w:val="18"/>
                <w:lang w:val="bs-Latn-BA" w:eastAsia="sl-SI"/>
              </w:rPr>
              <w:t>Osnovne akademske studije</w:t>
            </w:r>
          </w:p>
        </w:tc>
        <w:tc>
          <w:tcPr>
            <w:tcW w:w="1393" w:type="dxa"/>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1</w:t>
            </w:r>
            <w:r w:rsidR="00CD262E">
              <w:rPr>
                <w:rFonts w:eastAsia="Times New Roman" w:cs="Calibri"/>
                <w:color w:val="000000"/>
                <w:sz w:val="18"/>
                <w:lang w:val="bs-Latn-BA" w:eastAsia="sl-SI"/>
              </w:rPr>
              <w:t>.</w:t>
            </w:r>
            <w:r w:rsidRPr="00373F67">
              <w:rPr>
                <w:rFonts w:eastAsia="Times New Roman" w:cs="Calibri"/>
                <w:color w:val="000000"/>
                <w:sz w:val="18"/>
                <w:lang w:val="bs-Latn-BA" w:eastAsia="sl-SI"/>
              </w:rPr>
              <w:t>164</w:t>
            </w:r>
          </w:p>
        </w:tc>
        <w:tc>
          <w:tcPr>
            <w:tcW w:w="1216" w:type="dxa"/>
            <w:vAlign w:val="bottom"/>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cs="Calibri"/>
                <w:color w:val="000000"/>
                <w:sz w:val="18"/>
                <w:lang w:val="bs-Latn-BA"/>
              </w:rPr>
              <w:t>0.8</w:t>
            </w:r>
          </w:p>
        </w:tc>
        <w:tc>
          <w:tcPr>
            <w:tcW w:w="1674"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Arial"/>
                <w:color w:val="000000"/>
                <w:sz w:val="18"/>
                <w:lang w:val="bs-Latn-BA" w:eastAsia="sl-SI"/>
              </w:rPr>
              <w:t>2</w:t>
            </w:r>
            <w:r w:rsidR="00CD262E">
              <w:rPr>
                <w:rFonts w:eastAsia="Times New Roman" w:cs="Arial"/>
                <w:color w:val="000000"/>
                <w:sz w:val="18"/>
                <w:lang w:val="bs-Latn-BA" w:eastAsia="sl-SI"/>
              </w:rPr>
              <w:t>.</w:t>
            </w:r>
            <w:r w:rsidRPr="00373F67">
              <w:rPr>
                <w:rFonts w:eastAsia="Times New Roman" w:cs="Arial"/>
                <w:color w:val="000000"/>
                <w:sz w:val="18"/>
                <w:lang w:val="bs-Latn-BA" w:eastAsia="sl-SI"/>
              </w:rPr>
              <w:t>756</w:t>
            </w:r>
          </w:p>
        </w:tc>
        <w:tc>
          <w:tcPr>
            <w:tcW w:w="1291"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Arial"/>
                <w:color w:val="000000"/>
                <w:sz w:val="18"/>
                <w:lang w:val="bs-Latn-BA" w:eastAsia="sl-SI"/>
              </w:rPr>
              <w:t>0,5</w:t>
            </w:r>
          </w:p>
        </w:tc>
      </w:tr>
      <w:tr w:rsidR="00A6124E" w:rsidRPr="00373F67" w:rsidTr="005E3980">
        <w:trPr>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Arial"/>
                <w:b w:val="0"/>
                <w:bCs w:val="0"/>
                <w:color w:val="000000"/>
                <w:sz w:val="18"/>
                <w:lang w:val="bs-Latn-BA" w:eastAsia="sl-SI"/>
              </w:rPr>
              <w:t>Osnovne primijenjene studije</w:t>
            </w:r>
          </w:p>
        </w:tc>
        <w:tc>
          <w:tcPr>
            <w:tcW w:w="1393" w:type="dxa"/>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684</w:t>
            </w:r>
          </w:p>
        </w:tc>
        <w:tc>
          <w:tcPr>
            <w:tcW w:w="1216" w:type="dxa"/>
            <w:vAlign w:val="bottom"/>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cs="Calibri"/>
                <w:color w:val="000000"/>
                <w:sz w:val="18"/>
                <w:lang w:val="bs-Latn-BA"/>
              </w:rPr>
              <w:t>0.5</w:t>
            </w:r>
          </w:p>
        </w:tc>
        <w:tc>
          <w:tcPr>
            <w:tcW w:w="1674"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Arial"/>
                <w:color w:val="000000"/>
                <w:sz w:val="18"/>
                <w:lang w:val="bs-Latn-BA" w:eastAsia="sl-SI"/>
              </w:rPr>
              <w:t>1</w:t>
            </w:r>
            <w:r w:rsidR="00CD262E">
              <w:rPr>
                <w:rFonts w:eastAsia="Times New Roman" w:cs="Arial"/>
                <w:color w:val="000000"/>
                <w:sz w:val="18"/>
                <w:lang w:val="bs-Latn-BA" w:eastAsia="sl-SI"/>
              </w:rPr>
              <w:t>.</w:t>
            </w:r>
            <w:r w:rsidRPr="00373F67">
              <w:rPr>
                <w:rFonts w:eastAsia="Times New Roman" w:cs="Arial"/>
                <w:color w:val="000000"/>
                <w:sz w:val="18"/>
                <w:lang w:val="bs-Latn-BA" w:eastAsia="sl-SI"/>
              </w:rPr>
              <w:t>343</w:t>
            </w:r>
          </w:p>
        </w:tc>
        <w:tc>
          <w:tcPr>
            <w:tcW w:w="1291"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Arial"/>
                <w:color w:val="000000"/>
                <w:sz w:val="18"/>
                <w:lang w:val="bs-Latn-BA" w:eastAsia="sl-SI"/>
              </w:rPr>
              <w:t>0,3</w:t>
            </w:r>
          </w:p>
        </w:tc>
      </w:tr>
      <w:tr w:rsidR="00A6124E" w:rsidRPr="00373F67" w:rsidTr="005E3980">
        <w:trPr>
          <w:cnfStyle w:val="000000100000"/>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Arial"/>
                <w:b w:val="0"/>
                <w:bCs w:val="0"/>
                <w:color w:val="000000"/>
                <w:sz w:val="18"/>
                <w:lang w:val="bs-Latn-BA" w:eastAsia="sl-SI"/>
              </w:rPr>
              <w:t>Postdiplomske specijalističke studije</w:t>
            </w:r>
          </w:p>
        </w:tc>
        <w:tc>
          <w:tcPr>
            <w:tcW w:w="1393" w:type="dxa"/>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665</w:t>
            </w:r>
          </w:p>
        </w:tc>
        <w:tc>
          <w:tcPr>
            <w:tcW w:w="1216" w:type="dxa"/>
            <w:vAlign w:val="bottom"/>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cs="Calibri"/>
                <w:color w:val="000000"/>
                <w:sz w:val="18"/>
                <w:lang w:val="bs-Latn-BA"/>
              </w:rPr>
              <w:t>0.4</w:t>
            </w:r>
          </w:p>
        </w:tc>
        <w:tc>
          <w:tcPr>
            <w:tcW w:w="1674"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Arial"/>
                <w:color w:val="000000"/>
                <w:sz w:val="18"/>
                <w:lang w:val="bs-Latn-BA" w:eastAsia="sl-SI"/>
              </w:rPr>
              <w:t>1</w:t>
            </w:r>
            <w:r w:rsidR="00CD262E">
              <w:rPr>
                <w:rFonts w:eastAsia="Times New Roman" w:cs="Arial"/>
                <w:color w:val="000000"/>
                <w:sz w:val="18"/>
                <w:lang w:val="bs-Latn-BA" w:eastAsia="sl-SI"/>
              </w:rPr>
              <w:t>.</w:t>
            </w:r>
            <w:r w:rsidRPr="00373F67">
              <w:rPr>
                <w:rFonts w:eastAsia="Times New Roman" w:cs="Arial"/>
                <w:color w:val="000000"/>
                <w:sz w:val="18"/>
                <w:lang w:val="bs-Latn-BA" w:eastAsia="sl-SI"/>
              </w:rPr>
              <w:t>528</w:t>
            </w:r>
          </w:p>
        </w:tc>
        <w:tc>
          <w:tcPr>
            <w:tcW w:w="1291"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Arial"/>
                <w:color w:val="000000"/>
                <w:sz w:val="18"/>
                <w:lang w:val="bs-Latn-BA" w:eastAsia="sl-SI"/>
              </w:rPr>
              <w:t>0,3</w:t>
            </w:r>
          </w:p>
        </w:tc>
      </w:tr>
      <w:tr w:rsidR="00A6124E" w:rsidRPr="00373F67" w:rsidTr="005E3980">
        <w:trPr>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Arial"/>
                <w:b w:val="0"/>
                <w:bCs w:val="0"/>
                <w:color w:val="000000"/>
                <w:sz w:val="18"/>
                <w:lang w:val="bs-Latn-BA" w:eastAsia="sl-SI"/>
              </w:rPr>
              <w:t>Postdiplomske magistarske studije</w:t>
            </w:r>
          </w:p>
        </w:tc>
        <w:tc>
          <w:tcPr>
            <w:tcW w:w="1393" w:type="dxa"/>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Calibri"/>
                <w:color w:val="000000"/>
                <w:sz w:val="18"/>
                <w:lang w:val="bs-Latn-BA" w:eastAsia="sl-SI"/>
              </w:rPr>
              <w:t>356</w:t>
            </w:r>
          </w:p>
        </w:tc>
        <w:tc>
          <w:tcPr>
            <w:tcW w:w="1216" w:type="dxa"/>
            <w:vAlign w:val="bottom"/>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cs="Calibri"/>
                <w:color w:val="000000"/>
                <w:sz w:val="18"/>
                <w:lang w:val="bs-Latn-BA"/>
              </w:rPr>
              <w:t>0.2</w:t>
            </w:r>
          </w:p>
        </w:tc>
        <w:tc>
          <w:tcPr>
            <w:tcW w:w="1674"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Arial"/>
                <w:color w:val="000000"/>
                <w:sz w:val="18"/>
                <w:lang w:val="bs-Latn-BA" w:eastAsia="sl-SI"/>
              </w:rPr>
              <w:t>713</w:t>
            </w:r>
          </w:p>
        </w:tc>
        <w:tc>
          <w:tcPr>
            <w:tcW w:w="1291" w:type="dxa"/>
            <w:hideMark/>
          </w:tcPr>
          <w:p w:rsidR="00A6124E" w:rsidRPr="00373F67" w:rsidRDefault="00A6124E" w:rsidP="00A132D8">
            <w:pPr>
              <w:jc w:val="right"/>
              <w:cnfStyle w:val="000000000000"/>
              <w:rPr>
                <w:rFonts w:eastAsia="Times New Roman" w:cs="Calibri"/>
                <w:color w:val="000000"/>
                <w:sz w:val="18"/>
                <w:lang w:val="bs-Latn-BA" w:eastAsia="sl-SI"/>
              </w:rPr>
            </w:pPr>
            <w:r w:rsidRPr="00373F67">
              <w:rPr>
                <w:rFonts w:eastAsia="Times New Roman" w:cs="Arial"/>
                <w:color w:val="000000"/>
                <w:sz w:val="18"/>
                <w:lang w:val="bs-Latn-BA" w:eastAsia="sl-SI"/>
              </w:rPr>
              <w:t>0,1</w:t>
            </w:r>
          </w:p>
        </w:tc>
      </w:tr>
      <w:tr w:rsidR="00A6124E" w:rsidRPr="00373F67" w:rsidTr="005E3980">
        <w:trPr>
          <w:cnfStyle w:val="000000100000"/>
          <w:trHeight w:val="261"/>
        </w:trPr>
        <w:tc>
          <w:tcPr>
            <w:cnfStyle w:val="001000000000"/>
            <w:tcW w:w="3476" w:type="dxa"/>
            <w:hideMark/>
          </w:tcPr>
          <w:p w:rsidR="00A6124E" w:rsidRPr="00373F67" w:rsidRDefault="00A6124E" w:rsidP="00A132D8">
            <w:pPr>
              <w:rPr>
                <w:rFonts w:eastAsia="Times New Roman" w:cs="Calibri"/>
                <w:b w:val="0"/>
                <w:bCs w:val="0"/>
                <w:color w:val="000000"/>
                <w:sz w:val="18"/>
                <w:lang w:val="bs-Latn-BA" w:eastAsia="sl-SI"/>
              </w:rPr>
            </w:pPr>
            <w:r w:rsidRPr="00373F67">
              <w:rPr>
                <w:rFonts w:eastAsia="Times New Roman" w:cs="Arial"/>
                <w:b w:val="0"/>
                <w:bCs w:val="0"/>
                <w:color w:val="000000"/>
                <w:sz w:val="18"/>
                <w:lang w:val="bs-Latn-BA" w:eastAsia="sl-SI"/>
              </w:rPr>
              <w:t>Ostalo (bez izjašnjenja)</w:t>
            </w:r>
          </w:p>
        </w:tc>
        <w:tc>
          <w:tcPr>
            <w:tcW w:w="1393" w:type="dxa"/>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Calibri"/>
                <w:color w:val="000000"/>
                <w:sz w:val="18"/>
                <w:lang w:val="bs-Latn-BA" w:eastAsia="sl-SI"/>
              </w:rPr>
              <w:t>878</w:t>
            </w:r>
          </w:p>
        </w:tc>
        <w:tc>
          <w:tcPr>
            <w:tcW w:w="1216" w:type="dxa"/>
            <w:vAlign w:val="bottom"/>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cs="Calibri"/>
                <w:color w:val="000000"/>
                <w:sz w:val="18"/>
                <w:lang w:val="bs-Latn-BA"/>
              </w:rPr>
              <w:t>0.6</w:t>
            </w:r>
          </w:p>
        </w:tc>
        <w:tc>
          <w:tcPr>
            <w:tcW w:w="1674"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Arial"/>
                <w:color w:val="000000"/>
                <w:sz w:val="18"/>
                <w:lang w:val="bs-Latn-BA" w:eastAsia="sl-SI"/>
              </w:rPr>
              <w:t>2</w:t>
            </w:r>
            <w:r w:rsidR="00CD262E">
              <w:rPr>
                <w:rFonts w:eastAsia="Times New Roman" w:cs="Arial"/>
                <w:color w:val="000000"/>
                <w:sz w:val="18"/>
                <w:lang w:val="bs-Latn-BA" w:eastAsia="sl-SI"/>
              </w:rPr>
              <w:t>.</w:t>
            </w:r>
            <w:r w:rsidRPr="00373F67">
              <w:rPr>
                <w:rFonts w:eastAsia="Times New Roman" w:cs="Arial"/>
                <w:color w:val="000000"/>
                <w:sz w:val="18"/>
                <w:lang w:val="bs-Latn-BA" w:eastAsia="sl-SI"/>
              </w:rPr>
              <w:t>536</w:t>
            </w:r>
          </w:p>
        </w:tc>
        <w:tc>
          <w:tcPr>
            <w:tcW w:w="1291" w:type="dxa"/>
            <w:hideMark/>
          </w:tcPr>
          <w:p w:rsidR="00A6124E" w:rsidRPr="00373F67" w:rsidRDefault="00A6124E" w:rsidP="00A132D8">
            <w:pPr>
              <w:jc w:val="right"/>
              <w:cnfStyle w:val="000000100000"/>
              <w:rPr>
                <w:rFonts w:eastAsia="Times New Roman" w:cs="Calibri"/>
                <w:color w:val="000000"/>
                <w:sz w:val="18"/>
                <w:lang w:val="bs-Latn-BA" w:eastAsia="sl-SI"/>
              </w:rPr>
            </w:pPr>
            <w:r w:rsidRPr="00373F67">
              <w:rPr>
                <w:rFonts w:eastAsia="Times New Roman" w:cs="Arial"/>
                <w:color w:val="000000"/>
                <w:sz w:val="18"/>
                <w:lang w:val="bs-Latn-BA" w:eastAsia="sl-SI"/>
              </w:rPr>
              <w:t>0,4</w:t>
            </w:r>
          </w:p>
        </w:tc>
      </w:tr>
      <w:tr w:rsidR="00A6124E" w:rsidRPr="00373F67" w:rsidTr="00015EE9">
        <w:trPr>
          <w:trHeight w:val="261"/>
        </w:trPr>
        <w:tc>
          <w:tcPr>
            <w:cnfStyle w:val="001000000000"/>
            <w:tcW w:w="3476" w:type="dxa"/>
            <w:shd w:val="clear" w:color="auto" w:fill="FFD966" w:themeFill="accent4" w:themeFillTint="99"/>
            <w:hideMark/>
          </w:tcPr>
          <w:p w:rsidR="00A6124E" w:rsidRPr="00767812" w:rsidRDefault="00A6124E" w:rsidP="00A132D8">
            <w:pPr>
              <w:rPr>
                <w:rFonts w:eastAsia="Times New Roman" w:cs="Calibri"/>
                <w:b w:val="0"/>
                <w:bCs w:val="0"/>
                <w:color w:val="000000"/>
                <w:sz w:val="18"/>
                <w:lang w:val="bs-Latn-BA" w:eastAsia="sl-SI"/>
              </w:rPr>
            </w:pPr>
            <w:r w:rsidRPr="00767812">
              <w:rPr>
                <w:rFonts w:eastAsia="Times New Roman" w:cs="Arial"/>
                <w:b w:val="0"/>
                <w:bCs w:val="0"/>
                <w:sz w:val="18"/>
                <w:lang w:val="bs-Latn-BA" w:eastAsia="sl-SI"/>
              </w:rPr>
              <w:t>Ukupno</w:t>
            </w:r>
          </w:p>
        </w:tc>
        <w:tc>
          <w:tcPr>
            <w:tcW w:w="1393" w:type="dxa"/>
            <w:shd w:val="clear" w:color="auto" w:fill="FFD966" w:themeFill="accent4" w:themeFillTint="99"/>
          </w:tcPr>
          <w:p w:rsidR="00A6124E" w:rsidRPr="00767812" w:rsidRDefault="00A6124E" w:rsidP="00A132D8">
            <w:pPr>
              <w:jc w:val="right"/>
              <w:cnfStyle w:val="000000000000"/>
              <w:rPr>
                <w:rFonts w:eastAsia="Times New Roman" w:cs="Calibri"/>
                <w:color w:val="000000"/>
                <w:sz w:val="18"/>
                <w:lang w:val="bs-Latn-BA" w:eastAsia="sl-SI"/>
              </w:rPr>
            </w:pPr>
            <w:r w:rsidRPr="00767812">
              <w:rPr>
                <w:rFonts w:eastAsia="Times New Roman" w:cs="Calibri"/>
                <w:color w:val="000000"/>
                <w:sz w:val="18"/>
                <w:lang w:val="bs-Latn-BA" w:eastAsia="sl-SI"/>
              </w:rPr>
              <w:t>148</w:t>
            </w:r>
            <w:r w:rsidR="00CD262E">
              <w:rPr>
                <w:rFonts w:eastAsia="Times New Roman" w:cs="Calibri"/>
                <w:color w:val="000000"/>
                <w:sz w:val="18"/>
                <w:lang w:val="bs-Latn-BA" w:eastAsia="sl-SI"/>
              </w:rPr>
              <w:t>.</w:t>
            </w:r>
            <w:r w:rsidRPr="00767812">
              <w:rPr>
                <w:rFonts w:eastAsia="Times New Roman" w:cs="Calibri"/>
                <w:color w:val="000000"/>
                <w:sz w:val="18"/>
                <w:lang w:val="bs-Latn-BA" w:eastAsia="sl-SI"/>
              </w:rPr>
              <w:t>102</w:t>
            </w:r>
          </w:p>
        </w:tc>
        <w:tc>
          <w:tcPr>
            <w:tcW w:w="1216" w:type="dxa"/>
            <w:shd w:val="clear" w:color="auto" w:fill="FFD966" w:themeFill="accent4" w:themeFillTint="99"/>
            <w:noWrap/>
          </w:tcPr>
          <w:p w:rsidR="00A6124E" w:rsidRPr="00767812" w:rsidRDefault="00A6124E" w:rsidP="00A132D8">
            <w:pPr>
              <w:jc w:val="right"/>
              <w:cnfStyle w:val="000000000000"/>
              <w:rPr>
                <w:rFonts w:eastAsia="Times New Roman" w:cs="Calibri"/>
                <w:color w:val="000000"/>
                <w:sz w:val="18"/>
                <w:lang w:val="bs-Latn-BA" w:eastAsia="sl-SI"/>
              </w:rPr>
            </w:pPr>
            <w:r w:rsidRPr="00767812">
              <w:rPr>
                <w:rFonts w:eastAsia="Times New Roman" w:cs="Calibri"/>
                <w:color w:val="000000"/>
                <w:sz w:val="18"/>
                <w:lang w:val="bs-Latn-BA" w:eastAsia="sl-SI"/>
              </w:rPr>
              <w:t>100</w:t>
            </w:r>
          </w:p>
        </w:tc>
        <w:tc>
          <w:tcPr>
            <w:tcW w:w="1674" w:type="dxa"/>
            <w:shd w:val="clear" w:color="auto" w:fill="FFD966" w:themeFill="accent4" w:themeFillTint="99"/>
            <w:hideMark/>
          </w:tcPr>
          <w:p w:rsidR="00A6124E" w:rsidRPr="00767812" w:rsidRDefault="00A6124E" w:rsidP="00A132D8">
            <w:pPr>
              <w:jc w:val="right"/>
              <w:cnfStyle w:val="000000000000"/>
              <w:rPr>
                <w:rFonts w:eastAsia="Times New Roman" w:cs="Calibri"/>
                <w:color w:val="000000"/>
                <w:sz w:val="18"/>
                <w:lang w:val="bs-Latn-BA" w:eastAsia="sl-SI"/>
              </w:rPr>
            </w:pPr>
            <w:r w:rsidRPr="00767812">
              <w:rPr>
                <w:rFonts w:eastAsia="Times New Roman" w:cs="Calibri"/>
                <w:color w:val="000000"/>
                <w:sz w:val="18"/>
                <w:lang w:val="bs-Latn-BA" w:eastAsia="sl-SI"/>
              </w:rPr>
              <w:t>501</w:t>
            </w:r>
            <w:r w:rsidR="00CD262E">
              <w:rPr>
                <w:rFonts w:eastAsia="Times New Roman" w:cs="Calibri"/>
                <w:color w:val="000000"/>
                <w:sz w:val="18"/>
                <w:lang w:val="bs-Latn-BA" w:eastAsia="sl-SI"/>
              </w:rPr>
              <w:t>.</w:t>
            </w:r>
            <w:r w:rsidRPr="00767812">
              <w:rPr>
                <w:rFonts w:eastAsia="Times New Roman" w:cs="Calibri"/>
                <w:color w:val="000000"/>
                <w:sz w:val="18"/>
                <w:lang w:val="bs-Latn-BA" w:eastAsia="sl-SI"/>
              </w:rPr>
              <w:t>278</w:t>
            </w:r>
          </w:p>
        </w:tc>
        <w:tc>
          <w:tcPr>
            <w:tcW w:w="1291" w:type="dxa"/>
            <w:shd w:val="clear" w:color="auto" w:fill="FFD966" w:themeFill="accent4" w:themeFillTint="99"/>
            <w:hideMark/>
          </w:tcPr>
          <w:p w:rsidR="00A6124E" w:rsidRPr="00767812" w:rsidRDefault="00A6124E" w:rsidP="00A132D8">
            <w:pPr>
              <w:jc w:val="right"/>
              <w:cnfStyle w:val="000000000000"/>
              <w:rPr>
                <w:rFonts w:eastAsia="Times New Roman" w:cs="Calibri"/>
                <w:color w:val="000000"/>
                <w:sz w:val="18"/>
                <w:lang w:val="bs-Latn-BA" w:eastAsia="sl-SI"/>
              </w:rPr>
            </w:pPr>
            <w:r w:rsidRPr="00767812">
              <w:rPr>
                <w:rFonts w:eastAsia="Times New Roman" w:cs="Calibri"/>
                <w:color w:val="000000"/>
                <w:sz w:val="18"/>
                <w:lang w:val="bs-Latn-BA" w:eastAsia="sl-SI"/>
              </w:rPr>
              <w:t>100</w:t>
            </w:r>
          </w:p>
        </w:tc>
      </w:tr>
    </w:tbl>
    <w:p w:rsidR="00A6124E" w:rsidRPr="00373F67" w:rsidRDefault="00A6124E" w:rsidP="00A6124E">
      <w:pPr>
        <w:jc w:val="right"/>
        <w:rPr>
          <w:rFonts w:cs="Arial"/>
          <w:i/>
          <w:iCs/>
          <w:sz w:val="18"/>
          <w:lang w:val="bs-Latn-BA"/>
        </w:rPr>
      </w:pPr>
      <w:r w:rsidRPr="00373F67">
        <w:rPr>
          <w:rFonts w:cs="Arial"/>
          <w:i/>
          <w:iCs/>
          <w:sz w:val="18"/>
          <w:lang w:val="bs-Latn-BA"/>
        </w:rPr>
        <w:t>Izvor: MONSTAT</w:t>
      </w:r>
    </w:p>
    <w:p w:rsidR="00A6124E" w:rsidRPr="00373F67" w:rsidRDefault="00A6124E" w:rsidP="00A6124E">
      <w:pPr>
        <w:rPr>
          <w:rFonts w:cs="Arial"/>
          <w:lang w:val="bs-Latn-BA"/>
        </w:rPr>
      </w:pPr>
    </w:p>
    <w:p w:rsidR="00A6124E" w:rsidRPr="00373F67" w:rsidRDefault="00A6124E" w:rsidP="005E3980">
      <w:pPr>
        <w:pStyle w:val="Heading2"/>
        <w:numPr>
          <w:ilvl w:val="1"/>
          <w:numId w:val="6"/>
        </w:numPr>
        <w:spacing w:before="0"/>
        <w:ind w:left="284" w:hanging="284"/>
        <w:rPr>
          <w:rFonts w:cs="Arial"/>
          <w:lang w:val="bs-Latn-BA"/>
        </w:rPr>
      </w:pPr>
      <w:bookmarkStart w:id="28" w:name="_Toc61289778"/>
      <w:bookmarkStart w:id="29" w:name="_Toc63099493"/>
      <w:r w:rsidRPr="00373F67">
        <w:rPr>
          <w:rFonts w:cs="Arial"/>
          <w:lang w:val="bs-Latn-BA"/>
        </w:rPr>
        <w:t>Ekonomija</w:t>
      </w:r>
      <w:bookmarkEnd w:id="28"/>
      <w:bookmarkEnd w:id="29"/>
    </w:p>
    <w:p w:rsidR="00A6124E" w:rsidRPr="00373F67" w:rsidRDefault="00A6124E" w:rsidP="005E3980">
      <w:pPr>
        <w:rPr>
          <w:lang w:val="bs-Latn-BA"/>
        </w:rPr>
      </w:pPr>
    </w:p>
    <w:p w:rsidR="00A6124E" w:rsidRPr="007909E6" w:rsidRDefault="00A6124E" w:rsidP="007909E6">
      <w:pPr>
        <w:pStyle w:val="Heading3"/>
        <w:numPr>
          <w:ilvl w:val="2"/>
          <w:numId w:val="6"/>
        </w:numPr>
        <w:spacing w:before="0"/>
        <w:ind w:hanging="786"/>
        <w:rPr>
          <w:lang w:val="bs-Latn-BA"/>
        </w:rPr>
      </w:pPr>
      <w:r w:rsidRPr="007909E6">
        <w:rPr>
          <w:lang w:val="bs-Latn-BA"/>
        </w:rPr>
        <w:t>Postojeća situacija i ekonomski trendovi</w:t>
      </w:r>
    </w:p>
    <w:p w:rsidR="00A6124E" w:rsidRPr="00373F67" w:rsidRDefault="00A6124E" w:rsidP="005E3980">
      <w:pPr>
        <w:pStyle w:val="ListParagraph"/>
        <w:ind w:left="786"/>
        <w:rPr>
          <w:lang w:val="bs-Latn-BA"/>
        </w:rPr>
      </w:pPr>
    </w:p>
    <w:p w:rsidR="00A6124E" w:rsidRDefault="00A6124E" w:rsidP="00587108">
      <w:pPr>
        <w:jc w:val="both"/>
        <w:rPr>
          <w:color w:val="000000" w:themeColor="text1"/>
          <w:sz w:val="22"/>
          <w:szCs w:val="22"/>
        </w:rPr>
      </w:pPr>
      <w:r w:rsidRPr="00373F67">
        <w:rPr>
          <w:color w:val="000000" w:themeColor="text1"/>
          <w:sz w:val="22"/>
          <w:szCs w:val="22"/>
        </w:rPr>
        <w:t xml:space="preserve">Prema indeksu konkurentnosti </w:t>
      </w:r>
      <w:r w:rsidRPr="00373F67">
        <w:rPr>
          <w:sz w:val="22"/>
          <w:szCs w:val="22"/>
        </w:rPr>
        <w:t>opština</w:t>
      </w:r>
      <w:r w:rsidRPr="00373F67">
        <w:rPr>
          <w:rStyle w:val="FootnoteReference"/>
          <w:sz w:val="22"/>
          <w:szCs w:val="22"/>
        </w:rPr>
        <w:footnoteReference w:id="3"/>
      </w:r>
      <w:r w:rsidRPr="00373F67">
        <w:rPr>
          <w:sz w:val="22"/>
          <w:szCs w:val="22"/>
        </w:rPr>
        <w:t>, Glavni grad Podgorica je</w:t>
      </w:r>
      <w:r w:rsidRPr="00373F67">
        <w:rPr>
          <w:color w:val="000000" w:themeColor="text1"/>
          <w:sz w:val="22"/>
          <w:szCs w:val="22"/>
        </w:rPr>
        <w:t xml:space="preserve"> zauzimao 4. mjesto od 21 opštine u izračunavanju tog indeksa za period 2012-2014. godine. U odnosu na prosjek konkurentnosti svih lokalnih samouprava, indeks konkurentnosti u Podgorici iznosio je 140,7, što znači da je bio značajno iznad nivoa prosjeka Crne Gore. To mjerenje je pokazalo ipak nešto slabiji rezultat kad je konkurentnost u pitanju, u odnosu na prethodno mjerenje (2009-2011). Naime, indek</w:t>
      </w:r>
      <w:r w:rsidR="00580DC5">
        <w:rPr>
          <w:color w:val="000000" w:themeColor="text1"/>
          <w:sz w:val="22"/>
          <w:szCs w:val="22"/>
        </w:rPr>
        <w:t>s</w:t>
      </w:r>
      <w:r w:rsidRPr="00373F67">
        <w:rPr>
          <w:color w:val="000000" w:themeColor="text1"/>
          <w:sz w:val="22"/>
          <w:szCs w:val="22"/>
        </w:rPr>
        <w:t xml:space="preserve"> konkurentnosti je za period 2012-2014</w:t>
      </w:r>
      <w:r w:rsidR="00000E91">
        <w:rPr>
          <w:color w:val="000000" w:themeColor="text1"/>
          <w:sz w:val="22"/>
          <w:szCs w:val="22"/>
        </w:rPr>
        <w:t>.</w:t>
      </w:r>
      <w:r w:rsidRPr="00373F67">
        <w:rPr>
          <w:color w:val="000000" w:themeColor="text1"/>
          <w:sz w:val="22"/>
          <w:szCs w:val="22"/>
        </w:rPr>
        <w:t xml:space="preserve"> bio za 1,3 indeksna poena manji u odnosu na 2009-2011, dok je stepen konkurentnosti zabilježio pad </w:t>
      </w:r>
      <w:r w:rsidR="00580DC5">
        <w:rPr>
          <w:color w:val="000000" w:themeColor="text1"/>
          <w:sz w:val="22"/>
          <w:szCs w:val="22"/>
        </w:rPr>
        <w:t>z</w:t>
      </w:r>
      <w:r w:rsidRPr="00373F67">
        <w:rPr>
          <w:color w:val="000000" w:themeColor="text1"/>
          <w:sz w:val="22"/>
          <w:szCs w:val="22"/>
        </w:rPr>
        <w:t xml:space="preserve">a jednu poziciju na rang listi opština (pad sa 3. na 4. mjesto). </w:t>
      </w:r>
    </w:p>
    <w:p w:rsidR="00A6124E" w:rsidRDefault="00A6124E" w:rsidP="00A6124E">
      <w:pPr>
        <w:spacing w:line="276" w:lineRule="auto"/>
        <w:jc w:val="both"/>
        <w:rPr>
          <w:color w:val="000000" w:themeColor="text1"/>
          <w:sz w:val="22"/>
          <w:szCs w:val="22"/>
        </w:rPr>
      </w:pPr>
    </w:p>
    <w:p w:rsidR="00A6124E" w:rsidRPr="00373F67" w:rsidRDefault="00A6124E" w:rsidP="00A6124E">
      <w:pPr>
        <w:jc w:val="both"/>
        <w:rPr>
          <w:lang w:val="bs-Latn-BA"/>
        </w:rPr>
      </w:pPr>
      <w:r w:rsidRPr="00373F67">
        <w:rPr>
          <w:lang w:val="bs-Latn-BA"/>
        </w:rPr>
        <w:t>Tabela 3: Ocjena nivoa konkurentnosti Podgorice</w:t>
      </w:r>
    </w:p>
    <w:p w:rsidR="00A6124E" w:rsidRPr="00373F67" w:rsidRDefault="00A6124E" w:rsidP="00A6124E">
      <w:pPr>
        <w:jc w:val="both"/>
        <w:rPr>
          <w:lang w:val="bs-Latn-BA"/>
        </w:rPr>
      </w:pPr>
    </w:p>
    <w:tbl>
      <w:tblPr>
        <w:tblW w:w="7724" w:type="dxa"/>
        <w:tblInd w:w="723" w:type="dxa"/>
        <w:tblCellMar>
          <w:left w:w="0" w:type="dxa"/>
          <w:right w:w="0" w:type="dxa"/>
        </w:tblCellMar>
        <w:tblLook w:val="04A0"/>
      </w:tblPr>
      <w:tblGrid>
        <w:gridCol w:w="2987"/>
        <w:gridCol w:w="1505"/>
        <w:gridCol w:w="1727"/>
        <w:gridCol w:w="1505"/>
      </w:tblGrid>
      <w:tr w:rsidR="00A6124E" w:rsidRPr="00373F67" w:rsidTr="00A301FC">
        <w:trPr>
          <w:trHeight w:val="191"/>
        </w:trPr>
        <w:tc>
          <w:tcPr>
            <w:tcW w:w="2987" w:type="dxa"/>
            <w:tcBorders>
              <w:top w:val="single" w:sz="4" w:space="0" w:color="A6A6A6" w:themeColor="background1" w:themeShade="A6"/>
              <w:left w:val="single" w:sz="8" w:space="0" w:color="FFFFFF"/>
              <w:bottom w:val="single" w:sz="4" w:space="0" w:color="A6A6A6" w:themeColor="background1" w:themeShade="A6"/>
              <w:right w:val="single" w:sz="8" w:space="0" w:color="FFFFFF"/>
            </w:tcBorders>
            <w:shd w:val="clear" w:color="auto" w:fill="FFD966" w:themeFill="accent4" w:themeFillTint="99"/>
            <w:tcMar>
              <w:top w:w="15" w:type="dxa"/>
              <w:left w:w="104" w:type="dxa"/>
              <w:bottom w:w="0" w:type="dxa"/>
              <w:right w:w="104" w:type="dxa"/>
            </w:tcMar>
            <w:vAlign w:val="center"/>
            <w:hideMark/>
          </w:tcPr>
          <w:p w:rsidR="00A6124E" w:rsidRPr="00A45AEA" w:rsidRDefault="00A6124E" w:rsidP="00A132D8">
            <w:pPr>
              <w:jc w:val="both"/>
              <w:rPr>
                <w:rFonts w:cs="Arial"/>
                <w:color w:val="000000" w:themeColor="text1"/>
                <w:sz w:val="18"/>
                <w:lang w:val="bs-Latn-BA"/>
              </w:rPr>
            </w:pPr>
            <w:r w:rsidRPr="00A45AEA">
              <w:rPr>
                <w:rFonts w:cs="Arial"/>
                <w:color w:val="000000" w:themeColor="text1"/>
                <w:sz w:val="18"/>
                <w:lang w:val="bs-Latn-BA"/>
              </w:rPr>
              <w:t> </w:t>
            </w:r>
          </w:p>
        </w:tc>
        <w:tc>
          <w:tcPr>
            <w:tcW w:w="1505" w:type="dxa"/>
            <w:tcBorders>
              <w:top w:val="single" w:sz="4" w:space="0" w:color="A6A6A6" w:themeColor="background1" w:themeShade="A6"/>
              <w:left w:val="single" w:sz="8" w:space="0" w:color="FFFFFF"/>
              <w:bottom w:val="single" w:sz="4" w:space="0" w:color="A6A6A6" w:themeColor="background1" w:themeShade="A6"/>
              <w:right w:val="single" w:sz="8" w:space="0" w:color="FFFFFF"/>
            </w:tcBorders>
            <w:shd w:val="clear" w:color="auto" w:fill="FFD966" w:themeFill="accent4" w:themeFillTint="99"/>
            <w:tcMar>
              <w:top w:w="15" w:type="dxa"/>
              <w:left w:w="104" w:type="dxa"/>
              <w:bottom w:w="0" w:type="dxa"/>
              <w:right w:w="104" w:type="dxa"/>
            </w:tcMar>
            <w:hideMark/>
          </w:tcPr>
          <w:p w:rsidR="00A6124E" w:rsidRPr="00A45AEA" w:rsidRDefault="00A301FC" w:rsidP="00A301FC">
            <w:pPr>
              <w:jc w:val="center"/>
              <w:rPr>
                <w:rFonts w:cs="Arial"/>
                <w:color w:val="000000" w:themeColor="text1"/>
                <w:sz w:val="18"/>
                <w:lang w:val="bs-Latn-BA"/>
              </w:rPr>
            </w:pPr>
            <w:r>
              <w:rPr>
                <w:rFonts w:cs="Arial"/>
                <w:color w:val="000000" w:themeColor="text1"/>
                <w:sz w:val="18"/>
                <w:lang w:val="bs-Latn-BA"/>
              </w:rPr>
              <w:t>2009</w:t>
            </w:r>
            <w:r w:rsidR="00A6124E" w:rsidRPr="00A45AEA">
              <w:rPr>
                <w:rFonts w:cs="Arial"/>
                <w:color w:val="000000" w:themeColor="text1"/>
                <w:sz w:val="18"/>
                <w:lang w:val="bs-Latn-BA"/>
              </w:rPr>
              <w:t xml:space="preserve"> -</w:t>
            </w:r>
            <w:r>
              <w:rPr>
                <w:rFonts w:cs="Arial"/>
                <w:color w:val="000000" w:themeColor="text1"/>
                <w:sz w:val="18"/>
                <w:lang w:val="bs-Latn-BA"/>
              </w:rPr>
              <w:t xml:space="preserve"> </w:t>
            </w:r>
            <w:r w:rsidR="00A6124E" w:rsidRPr="00A45AEA">
              <w:rPr>
                <w:rFonts w:cs="Arial"/>
                <w:color w:val="000000" w:themeColor="text1"/>
                <w:sz w:val="18"/>
                <w:lang w:val="bs-Latn-BA"/>
              </w:rPr>
              <w:t>2011.</w:t>
            </w:r>
          </w:p>
        </w:tc>
        <w:tc>
          <w:tcPr>
            <w:tcW w:w="1727" w:type="dxa"/>
            <w:tcBorders>
              <w:top w:val="single" w:sz="4" w:space="0" w:color="A6A6A6" w:themeColor="background1" w:themeShade="A6"/>
              <w:left w:val="single" w:sz="8" w:space="0" w:color="FFFFFF"/>
              <w:bottom w:val="single" w:sz="4" w:space="0" w:color="A6A6A6" w:themeColor="background1" w:themeShade="A6"/>
              <w:right w:val="single" w:sz="8" w:space="0" w:color="FFFFFF"/>
            </w:tcBorders>
            <w:shd w:val="clear" w:color="auto" w:fill="FFD966" w:themeFill="accent4" w:themeFillTint="99"/>
            <w:tcMar>
              <w:top w:w="15" w:type="dxa"/>
              <w:left w:w="104" w:type="dxa"/>
              <w:bottom w:w="0" w:type="dxa"/>
              <w:right w:w="104" w:type="dxa"/>
            </w:tcMar>
            <w:hideMark/>
          </w:tcPr>
          <w:p w:rsidR="00A6124E" w:rsidRPr="00A45AEA" w:rsidRDefault="00A301FC" w:rsidP="00A301FC">
            <w:pPr>
              <w:jc w:val="center"/>
              <w:rPr>
                <w:rFonts w:cs="Arial"/>
                <w:color w:val="000000" w:themeColor="text1"/>
                <w:sz w:val="18"/>
                <w:lang w:val="bs-Latn-BA"/>
              </w:rPr>
            </w:pPr>
            <w:r>
              <w:rPr>
                <w:rFonts w:cs="Arial"/>
                <w:color w:val="000000" w:themeColor="text1"/>
                <w:sz w:val="18"/>
                <w:lang w:val="bs-Latn-BA"/>
              </w:rPr>
              <w:t xml:space="preserve">2012 </w:t>
            </w:r>
            <w:r w:rsidR="00A6124E" w:rsidRPr="00A45AEA">
              <w:rPr>
                <w:rFonts w:cs="Arial"/>
                <w:color w:val="000000" w:themeColor="text1"/>
                <w:sz w:val="18"/>
                <w:lang w:val="bs-Latn-BA"/>
              </w:rPr>
              <w:t>-</w:t>
            </w:r>
            <w:r>
              <w:rPr>
                <w:rFonts w:cs="Arial"/>
                <w:color w:val="000000" w:themeColor="text1"/>
                <w:sz w:val="18"/>
                <w:lang w:val="bs-Latn-BA"/>
              </w:rPr>
              <w:t xml:space="preserve"> </w:t>
            </w:r>
            <w:r w:rsidR="00A6124E" w:rsidRPr="00A45AEA">
              <w:rPr>
                <w:rFonts w:cs="Arial"/>
                <w:color w:val="000000" w:themeColor="text1"/>
                <w:sz w:val="18"/>
                <w:lang w:val="bs-Latn-BA"/>
              </w:rPr>
              <w:t>2014.</w:t>
            </w:r>
          </w:p>
        </w:tc>
        <w:tc>
          <w:tcPr>
            <w:tcW w:w="1505" w:type="dxa"/>
            <w:tcBorders>
              <w:top w:val="single" w:sz="4" w:space="0" w:color="A6A6A6" w:themeColor="background1" w:themeShade="A6"/>
              <w:left w:val="single" w:sz="8" w:space="0" w:color="FFFFFF"/>
              <w:bottom w:val="single" w:sz="4" w:space="0" w:color="A6A6A6" w:themeColor="background1" w:themeShade="A6"/>
              <w:right w:val="single" w:sz="8" w:space="0" w:color="FFFFFF"/>
            </w:tcBorders>
            <w:shd w:val="clear" w:color="auto" w:fill="FFD966" w:themeFill="accent4" w:themeFillTint="99"/>
            <w:tcMar>
              <w:top w:w="15" w:type="dxa"/>
              <w:left w:w="104" w:type="dxa"/>
              <w:bottom w:w="0" w:type="dxa"/>
              <w:right w:w="104" w:type="dxa"/>
            </w:tcMar>
            <w:hideMark/>
          </w:tcPr>
          <w:p w:rsidR="00A6124E" w:rsidRPr="00A45AEA" w:rsidRDefault="00A301FC" w:rsidP="00A301FC">
            <w:pPr>
              <w:jc w:val="center"/>
              <w:rPr>
                <w:rFonts w:cs="Arial"/>
                <w:color w:val="000000" w:themeColor="text1"/>
                <w:sz w:val="18"/>
                <w:lang w:val="bs-Latn-BA"/>
              </w:rPr>
            </w:pPr>
            <w:r>
              <w:rPr>
                <w:rFonts w:cs="Arial"/>
                <w:color w:val="000000" w:themeColor="text1"/>
                <w:sz w:val="18"/>
                <w:lang w:val="bs-Latn-BA"/>
              </w:rPr>
              <w:t xml:space="preserve">2015 </w:t>
            </w:r>
            <w:r w:rsidR="00A6124E" w:rsidRPr="00A45AEA">
              <w:rPr>
                <w:rFonts w:cs="Arial"/>
                <w:color w:val="000000" w:themeColor="text1"/>
                <w:sz w:val="18"/>
                <w:lang w:val="bs-Latn-BA"/>
              </w:rPr>
              <w:t>-</w:t>
            </w:r>
            <w:r>
              <w:rPr>
                <w:rFonts w:cs="Arial"/>
                <w:color w:val="000000" w:themeColor="text1"/>
                <w:sz w:val="18"/>
                <w:lang w:val="bs-Latn-BA"/>
              </w:rPr>
              <w:t xml:space="preserve"> </w:t>
            </w:r>
            <w:r w:rsidR="00A6124E" w:rsidRPr="00A45AEA">
              <w:rPr>
                <w:rFonts w:cs="Arial"/>
                <w:color w:val="000000" w:themeColor="text1"/>
                <w:sz w:val="18"/>
                <w:lang w:val="bs-Latn-BA"/>
              </w:rPr>
              <w:t>2017.</w:t>
            </w:r>
          </w:p>
          <w:p w:rsidR="00A6124E" w:rsidRPr="00A45AEA" w:rsidRDefault="00A6124E" w:rsidP="00A301FC">
            <w:pPr>
              <w:jc w:val="center"/>
              <w:rPr>
                <w:rFonts w:cs="Arial"/>
                <w:color w:val="000000" w:themeColor="text1"/>
                <w:sz w:val="18"/>
                <w:lang w:val="bs-Latn-BA"/>
              </w:rPr>
            </w:pPr>
          </w:p>
        </w:tc>
      </w:tr>
      <w:tr w:rsidR="00A6124E" w:rsidRPr="00373F67" w:rsidTr="00A45AEA">
        <w:trPr>
          <w:trHeight w:val="208"/>
        </w:trPr>
        <w:tc>
          <w:tcPr>
            <w:tcW w:w="2987" w:type="dxa"/>
            <w:tcBorders>
              <w:top w:val="single" w:sz="4" w:space="0" w:color="A6A6A6" w:themeColor="background1" w:themeShade="A6"/>
              <w:left w:val="single" w:sz="8" w:space="0" w:color="FFFFFF"/>
              <w:bottom w:val="single" w:sz="8" w:space="0" w:color="FFFFFF"/>
              <w:right w:val="single" w:sz="8" w:space="0" w:color="FFFFFF"/>
            </w:tcBorders>
            <w:shd w:val="clear" w:color="auto" w:fill="auto"/>
            <w:tcMar>
              <w:top w:w="15" w:type="dxa"/>
              <w:left w:w="104" w:type="dxa"/>
              <w:bottom w:w="0" w:type="dxa"/>
              <w:right w:w="104" w:type="dxa"/>
            </w:tcMar>
            <w:hideMark/>
          </w:tcPr>
          <w:p w:rsidR="00A6124E" w:rsidRPr="00373F67" w:rsidRDefault="00A6124E" w:rsidP="00A132D8">
            <w:pPr>
              <w:jc w:val="both"/>
              <w:rPr>
                <w:rFonts w:cs="Arial"/>
                <w:color w:val="000000" w:themeColor="text1"/>
                <w:sz w:val="18"/>
                <w:lang w:val="bs-Latn-BA"/>
              </w:rPr>
            </w:pPr>
            <w:r w:rsidRPr="00373F67">
              <w:rPr>
                <w:rFonts w:cs="Arial"/>
                <w:color w:val="000000" w:themeColor="text1"/>
                <w:sz w:val="18"/>
                <w:lang w:val="bs-Latn-BA"/>
              </w:rPr>
              <w:t>Indeks konkurentnosti</w:t>
            </w:r>
          </w:p>
        </w:tc>
        <w:tc>
          <w:tcPr>
            <w:tcW w:w="1505" w:type="dxa"/>
            <w:tcBorders>
              <w:top w:val="single" w:sz="4" w:space="0" w:color="A6A6A6" w:themeColor="background1" w:themeShade="A6"/>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142</w:t>
            </w:r>
          </w:p>
        </w:tc>
        <w:tc>
          <w:tcPr>
            <w:tcW w:w="1727" w:type="dxa"/>
            <w:tcBorders>
              <w:top w:val="single" w:sz="4" w:space="0" w:color="A6A6A6" w:themeColor="background1" w:themeShade="A6"/>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140,7</w:t>
            </w:r>
          </w:p>
        </w:tc>
        <w:tc>
          <w:tcPr>
            <w:tcW w:w="1505" w:type="dxa"/>
            <w:tcBorders>
              <w:top w:val="single" w:sz="4" w:space="0" w:color="A6A6A6" w:themeColor="background1" w:themeShade="A6"/>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144,9</w:t>
            </w:r>
          </w:p>
        </w:tc>
      </w:tr>
      <w:tr w:rsidR="00A6124E" w:rsidRPr="00373F67" w:rsidTr="00A45AEA">
        <w:trPr>
          <w:trHeight w:val="410"/>
        </w:trPr>
        <w:tc>
          <w:tcPr>
            <w:tcW w:w="2987" w:type="dxa"/>
            <w:tcBorders>
              <w:top w:val="single" w:sz="8" w:space="0" w:color="FFFFFF"/>
              <w:left w:val="single" w:sz="8" w:space="0" w:color="FFFFFF"/>
              <w:bottom w:val="single" w:sz="4" w:space="0" w:color="A6A6A6" w:themeColor="background1" w:themeShade="A6"/>
              <w:right w:val="single" w:sz="8" w:space="0" w:color="FFFFFF"/>
            </w:tcBorders>
            <w:shd w:val="clear" w:color="auto" w:fill="auto"/>
            <w:tcMar>
              <w:top w:w="15" w:type="dxa"/>
              <w:left w:w="104" w:type="dxa"/>
              <w:bottom w:w="0" w:type="dxa"/>
              <w:right w:w="104" w:type="dxa"/>
            </w:tcMar>
            <w:hideMark/>
          </w:tcPr>
          <w:p w:rsidR="00A6124E" w:rsidRPr="00373F67" w:rsidRDefault="00A6124E" w:rsidP="00A132D8">
            <w:pPr>
              <w:jc w:val="both"/>
              <w:rPr>
                <w:rFonts w:cs="Arial"/>
                <w:color w:val="000000" w:themeColor="text1"/>
                <w:sz w:val="18"/>
                <w:lang w:val="bs-Latn-BA"/>
              </w:rPr>
            </w:pPr>
            <w:r w:rsidRPr="00373F67">
              <w:rPr>
                <w:rFonts w:cs="Arial"/>
                <w:color w:val="000000" w:themeColor="text1"/>
                <w:sz w:val="18"/>
                <w:lang w:val="bs-Latn-BA"/>
              </w:rPr>
              <w:t>Stepen konkurentnosti</w:t>
            </w:r>
          </w:p>
        </w:tc>
        <w:tc>
          <w:tcPr>
            <w:tcW w:w="1505" w:type="dxa"/>
            <w:tcBorders>
              <w:top w:val="single" w:sz="8" w:space="0" w:color="FFFFFF"/>
              <w:left w:val="single" w:sz="8" w:space="0" w:color="FFFFFF"/>
              <w:bottom w:val="single" w:sz="4" w:space="0" w:color="A6A6A6" w:themeColor="background1" w:themeShade="A6"/>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3</w:t>
            </w:r>
          </w:p>
        </w:tc>
        <w:tc>
          <w:tcPr>
            <w:tcW w:w="1727" w:type="dxa"/>
            <w:tcBorders>
              <w:top w:val="single" w:sz="8" w:space="0" w:color="FFFFFF"/>
              <w:left w:val="single" w:sz="8" w:space="0" w:color="FFFFFF"/>
              <w:bottom w:val="single" w:sz="4" w:space="0" w:color="A6A6A6" w:themeColor="background1" w:themeShade="A6"/>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4</w:t>
            </w:r>
          </w:p>
        </w:tc>
        <w:tc>
          <w:tcPr>
            <w:tcW w:w="1505" w:type="dxa"/>
            <w:tcBorders>
              <w:top w:val="single" w:sz="8" w:space="0" w:color="FFFFFF"/>
              <w:left w:val="single" w:sz="8" w:space="0" w:color="FFFFFF"/>
              <w:bottom w:val="single" w:sz="4" w:space="0" w:color="A6A6A6" w:themeColor="background1" w:themeShade="A6"/>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3</w:t>
            </w:r>
          </w:p>
        </w:tc>
      </w:tr>
    </w:tbl>
    <w:p w:rsidR="00A6124E" w:rsidRPr="00373F67" w:rsidRDefault="00A6124E" w:rsidP="00A6124E">
      <w:pPr>
        <w:jc w:val="right"/>
        <w:rPr>
          <w:rFonts w:cs="Arial"/>
          <w:i/>
          <w:iCs/>
          <w:color w:val="000000" w:themeColor="text1"/>
          <w:sz w:val="18"/>
          <w:lang w:val="bs-Latn-BA"/>
        </w:rPr>
      </w:pPr>
      <w:bookmarkStart w:id="30" w:name="_Hlk60155396"/>
      <w:r w:rsidRPr="00373F67">
        <w:rPr>
          <w:rFonts w:cs="Arial"/>
          <w:i/>
          <w:iCs/>
          <w:color w:val="000000" w:themeColor="text1"/>
          <w:sz w:val="18"/>
          <w:lang w:val="bs-Latn-BA"/>
        </w:rPr>
        <w:t>Izvor: Ministarstvo ekonomije Crne Gore</w:t>
      </w:r>
      <w:bookmarkEnd w:id="30"/>
    </w:p>
    <w:p w:rsidR="00580DC5" w:rsidRDefault="00580DC5" w:rsidP="00A6124E">
      <w:pPr>
        <w:spacing w:line="276" w:lineRule="auto"/>
        <w:jc w:val="both"/>
        <w:rPr>
          <w:color w:val="000000" w:themeColor="text1"/>
          <w:sz w:val="22"/>
          <w:szCs w:val="22"/>
        </w:rPr>
      </w:pPr>
    </w:p>
    <w:p w:rsidR="00A6124E" w:rsidRPr="00373F67" w:rsidRDefault="00A6124E" w:rsidP="00587108">
      <w:pPr>
        <w:jc w:val="both"/>
        <w:rPr>
          <w:color w:val="000000" w:themeColor="text1"/>
          <w:sz w:val="22"/>
          <w:szCs w:val="22"/>
        </w:rPr>
      </w:pPr>
      <w:r w:rsidRPr="00373F67">
        <w:rPr>
          <w:color w:val="000000" w:themeColor="text1"/>
          <w:sz w:val="22"/>
          <w:szCs w:val="22"/>
        </w:rPr>
        <w:t>Ipak, posljednje mjerenje indeksa konkurentnosti za period 2015-2017</w:t>
      </w:r>
      <w:r w:rsidR="00000E91">
        <w:rPr>
          <w:color w:val="000000" w:themeColor="text1"/>
          <w:sz w:val="22"/>
          <w:szCs w:val="22"/>
        </w:rPr>
        <w:t>.</w:t>
      </w:r>
      <w:r w:rsidRPr="00373F67">
        <w:rPr>
          <w:color w:val="000000" w:themeColor="text1"/>
          <w:sz w:val="22"/>
          <w:szCs w:val="22"/>
        </w:rPr>
        <w:t xml:space="preserve"> pokazuje opet unapređenje konkurentnosti Glavnog grada</w:t>
      </w:r>
      <w:r w:rsidR="00000E91">
        <w:rPr>
          <w:color w:val="000000" w:themeColor="text1"/>
          <w:sz w:val="22"/>
          <w:szCs w:val="22"/>
        </w:rPr>
        <w:t>,</w:t>
      </w:r>
      <w:r w:rsidRPr="00373F67">
        <w:rPr>
          <w:color w:val="000000" w:themeColor="text1"/>
          <w:sz w:val="22"/>
          <w:szCs w:val="22"/>
        </w:rPr>
        <w:t xml:space="preserve"> </w:t>
      </w:r>
      <w:r w:rsidR="00860D03">
        <w:rPr>
          <w:color w:val="000000" w:themeColor="text1"/>
          <w:sz w:val="22"/>
          <w:szCs w:val="22"/>
        </w:rPr>
        <w:t>budući</w:t>
      </w:r>
      <w:r w:rsidR="00860D03" w:rsidRPr="00373F67">
        <w:rPr>
          <w:color w:val="000000" w:themeColor="text1"/>
          <w:sz w:val="22"/>
          <w:szCs w:val="22"/>
        </w:rPr>
        <w:t xml:space="preserve"> </w:t>
      </w:r>
      <w:r w:rsidRPr="00373F67">
        <w:rPr>
          <w:color w:val="000000" w:themeColor="text1"/>
          <w:sz w:val="22"/>
          <w:szCs w:val="22"/>
        </w:rPr>
        <w:t>da je indeks konkurentnosti iznosio 144,9, dok je zabilježen i napredak za jednu poziciju na rang listi opština (stepen konkurentnosti 3).</w:t>
      </w:r>
    </w:p>
    <w:p w:rsidR="00A6124E" w:rsidRPr="00373F67" w:rsidRDefault="00A6124E" w:rsidP="00A6124E">
      <w:pPr>
        <w:jc w:val="both"/>
        <w:rPr>
          <w:color w:val="000000" w:themeColor="text1"/>
          <w:sz w:val="22"/>
          <w:szCs w:val="22"/>
          <w:lang w:val="bs-Latn-BA"/>
        </w:rPr>
      </w:pPr>
    </w:p>
    <w:p w:rsidR="005E3980" w:rsidRDefault="005E3980" w:rsidP="00A6124E">
      <w:pPr>
        <w:jc w:val="both"/>
        <w:rPr>
          <w:lang w:val="bs-Latn-BA"/>
        </w:rPr>
      </w:pPr>
    </w:p>
    <w:p w:rsidR="00587108" w:rsidRDefault="00587108" w:rsidP="00A6124E">
      <w:pPr>
        <w:jc w:val="both"/>
        <w:rPr>
          <w:lang w:val="bs-Latn-BA"/>
        </w:rPr>
      </w:pPr>
    </w:p>
    <w:p w:rsidR="00CD262E" w:rsidRDefault="00CD262E" w:rsidP="00A6124E">
      <w:pPr>
        <w:jc w:val="both"/>
        <w:rPr>
          <w:lang w:val="bs-Latn-BA"/>
        </w:rPr>
      </w:pPr>
    </w:p>
    <w:p w:rsidR="00A6124E" w:rsidRPr="00373F67" w:rsidRDefault="00A6124E" w:rsidP="00A6124E">
      <w:pPr>
        <w:jc w:val="both"/>
        <w:rPr>
          <w:lang w:val="bs-Latn-BA"/>
        </w:rPr>
      </w:pPr>
      <w:r w:rsidRPr="00373F67">
        <w:rPr>
          <w:lang w:val="bs-Latn-BA"/>
        </w:rPr>
        <w:t>Tabela 4: Ocjena nivoa razvij</w:t>
      </w:r>
      <w:r w:rsidR="005E3980">
        <w:rPr>
          <w:lang w:val="bs-Latn-BA"/>
        </w:rPr>
        <w:t>e</w:t>
      </w:r>
      <w:r w:rsidRPr="00373F67">
        <w:rPr>
          <w:lang w:val="bs-Latn-BA"/>
        </w:rPr>
        <w:t>nosti Podgorice</w:t>
      </w:r>
    </w:p>
    <w:p w:rsidR="00A6124E" w:rsidRPr="00373F67" w:rsidRDefault="00A6124E" w:rsidP="00A6124E">
      <w:pPr>
        <w:jc w:val="both"/>
        <w:rPr>
          <w:lang w:val="bs-Latn-BA"/>
        </w:rPr>
      </w:pPr>
    </w:p>
    <w:tbl>
      <w:tblPr>
        <w:tblW w:w="7064" w:type="dxa"/>
        <w:tblInd w:w="723" w:type="dxa"/>
        <w:tblCellMar>
          <w:left w:w="0" w:type="dxa"/>
          <w:right w:w="0" w:type="dxa"/>
        </w:tblCellMar>
        <w:tblLook w:val="04A0"/>
      </w:tblPr>
      <w:tblGrid>
        <w:gridCol w:w="2987"/>
        <w:gridCol w:w="1727"/>
        <w:gridCol w:w="2350"/>
      </w:tblGrid>
      <w:tr w:rsidR="00A6124E" w:rsidRPr="00373F67" w:rsidTr="00A301FC">
        <w:trPr>
          <w:trHeight w:val="264"/>
        </w:trPr>
        <w:tc>
          <w:tcPr>
            <w:tcW w:w="2987" w:type="dxa"/>
            <w:tcBorders>
              <w:top w:val="single" w:sz="4" w:space="0" w:color="A6A6A6" w:themeColor="background1" w:themeShade="A6"/>
              <w:left w:val="single" w:sz="8" w:space="0" w:color="FFFFFF"/>
              <w:bottom w:val="single" w:sz="4" w:space="0" w:color="A6A6A6" w:themeColor="background1" w:themeShade="A6"/>
              <w:right w:val="single" w:sz="8" w:space="0" w:color="FFFFFF"/>
            </w:tcBorders>
            <w:shd w:val="clear" w:color="auto" w:fill="FFD966" w:themeFill="accent4" w:themeFillTint="99"/>
            <w:tcMar>
              <w:top w:w="15" w:type="dxa"/>
              <w:left w:w="104" w:type="dxa"/>
              <w:bottom w:w="0" w:type="dxa"/>
              <w:right w:w="104" w:type="dxa"/>
            </w:tcMar>
            <w:vAlign w:val="center"/>
            <w:hideMark/>
          </w:tcPr>
          <w:p w:rsidR="00A6124E" w:rsidRPr="00373F67" w:rsidRDefault="00A6124E" w:rsidP="00A132D8">
            <w:pPr>
              <w:jc w:val="both"/>
              <w:rPr>
                <w:rFonts w:cs="Arial"/>
                <w:color w:val="000000" w:themeColor="text1"/>
                <w:sz w:val="18"/>
                <w:lang w:val="bs-Latn-BA"/>
              </w:rPr>
            </w:pPr>
          </w:p>
        </w:tc>
        <w:tc>
          <w:tcPr>
            <w:tcW w:w="1727" w:type="dxa"/>
            <w:tcBorders>
              <w:top w:val="single" w:sz="4" w:space="0" w:color="A6A6A6" w:themeColor="background1" w:themeShade="A6"/>
              <w:left w:val="single" w:sz="8" w:space="0" w:color="FFFFFF"/>
              <w:bottom w:val="single" w:sz="4" w:space="0" w:color="A6A6A6" w:themeColor="background1" w:themeShade="A6"/>
              <w:right w:val="single" w:sz="8" w:space="0" w:color="FFFFFF"/>
            </w:tcBorders>
            <w:shd w:val="clear" w:color="auto" w:fill="FFD966" w:themeFill="accent4" w:themeFillTint="99"/>
            <w:tcMar>
              <w:top w:w="15" w:type="dxa"/>
              <w:left w:w="104" w:type="dxa"/>
              <w:bottom w:w="0" w:type="dxa"/>
              <w:right w:w="104" w:type="dxa"/>
            </w:tcMar>
            <w:hideMark/>
          </w:tcPr>
          <w:p w:rsidR="00A6124E" w:rsidRPr="00373F67" w:rsidRDefault="00A301FC" w:rsidP="00A301FC">
            <w:pPr>
              <w:jc w:val="center"/>
              <w:rPr>
                <w:rFonts w:cs="Arial"/>
                <w:color w:val="000000" w:themeColor="text1"/>
                <w:sz w:val="18"/>
                <w:lang w:val="bs-Latn-BA"/>
              </w:rPr>
            </w:pPr>
            <w:r>
              <w:rPr>
                <w:rFonts w:cs="Arial"/>
                <w:color w:val="000000" w:themeColor="text1"/>
                <w:sz w:val="18"/>
                <w:lang w:val="bs-Latn-BA"/>
              </w:rPr>
              <w:t xml:space="preserve">2013 </w:t>
            </w:r>
            <w:r w:rsidR="00A6124E" w:rsidRPr="00373F67">
              <w:rPr>
                <w:rFonts w:cs="Arial"/>
                <w:color w:val="000000" w:themeColor="text1"/>
                <w:sz w:val="18"/>
                <w:lang w:val="bs-Latn-BA"/>
              </w:rPr>
              <w:t>-</w:t>
            </w:r>
            <w:r>
              <w:rPr>
                <w:rFonts w:cs="Arial"/>
                <w:color w:val="000000" w:themeColor="text1"/>
                <w:sz w:val="18"/>
                <w:lang w:val="bs-Latn-BA"/>
              </w:rPr>
              <w:t xml:space="preserve"> </w:t>
            </w:r>
            <w:r w:rsidR="00A6124E" w:rsidRPr="00373F67">
              <w:rPr>
                <w:rFonts w:cs="Arial"/>
                <w:color w:val="000000" w:themeColor="text1"/>
                <w:sz w:val="18"/>
                <w:lang w:val="bs-Latn-BA"/>
              </w:rPr>
              <w:t>2015.</w:t>
            </w:r>
          </w:p>
        </w:tc>
        <w:tc>
          <w:tcPr>
            <w:tcW w:w="2350" w:type="dxa"/>
            <w:tcBorders>
              <w:top w:val="single" w:sz="4" w:space="0" w:color="A6A6A6" w:themeColor="background1" w:themeShade="A6"/>
              <w:left w:val="single" w:sz="8" w:space="0" w:color="FFFFFF"/>
              <w:bottom w:val="single" w:sz="4" w:space="0" w:color="A6A6A6" w:themeColor="background1" w:themeShade="A6"/>
              <w:right w:val="single" w:sz="8" w:space="0" w:color="FFFFFF"/>
            </w:tcBorders>
            <w:shd w:val="clear" w:color="auto" w:fill="FFD966" w:themeFill="accent4" w:themeFillTint="99"/>
            <w:tcMar>
              <w:top w:w="15" w:type="dxa"/>
              <w:left w:w="104" w:type="dxa"/>
              <w:bottom w:w="0" w:type="dxa"/>
              <w:right w:w="104" w:type="dxa"/>
            </w:tcMar>
            <w:hideMark/>
          </w:tcPr>
          <w:p w:rsidR="00A6124E" w:rsidRPr="00373F67" w:rsidRDefault="00A301FC" w:rsidP="00A301FC">
            <w:pPr>
              <w:jc w:val="center"/>
              <w:rPr>
                <w:rFonts w:cs="Arial"/>
                <w:color w:val="000000" w:themeColor="text1"/>
                <w:sz w:val="18"/>
                <w:lang w:val="bs-Latn-BA"/>
              </w:rPr>
            </w:pPr>
            <w:r>
              <w:rPr>
                <w:rFonts w:cs="Arial"/>
                <w:color w:val="000000" w:themeColor="text1"/>
                <w:sz w:val="18"/>
                <w:lang w:val="bs-Latn-BA"/>
              </w:rPr>
              <w:t xml:space="preserve">2016 </w:t>
            </w:r>
            <w:r w:rsidR="00A6124E" w:rsidRPr="00373F67">
              <w:rPr>
                <w:rFonts w:cs="Arial"/>
                <w:color w:val="000000" w:themeColor="text1"/>
                <w:sz w:val="18"/>
                <w:lang w:val="bs-Latn-BA"/>
              </w:rPr>
              <w:t>-</w:t>
            </w:r>
            <w:r>
              <w:rPr>
                <w:rFonts w:cs="Arial"/>
                <w:color w:val="000000" w:themeColor="text1"/>
                <w:sz w:val="18"/>
                <w:lang w:val="bs-Latn-BA"/>
              </w:rPr>
              <w:t xml:space="preserve"> 2018.</w:t>
            </w:r>
          </w:p>
        </w:tc>
      </w:tr>
      <w:tr w:rsidR="00A6124E" w:rsidRPr="00373F67" w:rsidTr="00A45AEA">
        <w:trPr>
          <w:trHeight w:val="208"/>
        </w:trPr>
        <w:tc>
          <w:tcPr>
            <w:tcW w:w="2987" w:type="dxa"/>
            <w:tcBorders>
              <w:top w:val="single" w:sz="4" w:space="0" w:color="A6A6A6" w:themeColor="background1" w:themeShade="A6"/>
              <w:left w:val="single" w:sz="8" w:space="0" w:color="FFFFFF"/>
              <w:bottom w:val="single" w:sz="8" w:space="0" w:color="FFFFFF"/>
              <w:right w:val="single" w:sz="8" w:space="0" w:color="FFFFFF"/>
            </w:tcBorders>
            <w:shd w:val="clear" w:color="auto" w:fill="auto"/>
            <w:tcMar>
              <w:top w:w="15" w:type="dxa"/>
              <w:left w:w="104" w:type="dxa"/>
              <w:bottom w:w="0" w:type="dxa"/>
              <w:right w:w="104" w:type="dxa"/>
            </w:tcMar>
            <w:hideMark/>
          </w:tcPr>
          <w:p w:rsidR="00A6124E" w:rsidRPr="00373F67" w:rsidRDefault="00A6124E" w:rsidP="00A132D8">
            <w:pPr>
              <w:jc w:val="both"/>
              <w:rPr>
                <w:rFonts w:cs="Arial"/>
                <w:color w:val="000000" w:themeColor="text1"/>
                <w:sz w:val="18"/>
                <w:lang w:val="bs-Latn-BA"/>
              </w:rPr>
            </w:pPr>
            <w:r w:rsidRPr="00373F67">
              <w:rPr>
                <w:rFonts w:cs="Arial"/>
                <w:color w:val="000000" w:themeColor="text1"/>
                <w:sz w:val="18"/>
                <w:lang w:val="bs-Latn-BA"/>
              </w:rPr>
              <w:t>Indeks razvijenosti</w:t>
            </w:r>
          </w:p>
        </w:tc>
        <w:tc>
          <w:tcPr>
            <w:tcW w:w="1727" w:type="dxa"/>
            <w:tcBorders>
              <w:top w:val="single" w:sz="4" w:space="0" w:color="A6A6A6" w:themeColor="background1" w:themeShade="A6"/>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120,19</w:t>
            </w:r>
          </w:p>
        </w:tc>
        <w:tc>
          <w:tcPr>
            <w:tcW w:w="2350" w:type="dxa"/>
            <w:tcBorders>
              <w:top w:val="single" w:sz="4" w:space="0" w:color="A6A6A6" w:themeColor="background1" w:themeShade="A6"/>
              <w:left w:val="single" w:sz="8" w:space="0" w:color="FFFFFF"/>
              <w:bottom w:val="single" w:sz="8" w:space="0" w:color="FFFFFF"/>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122,11</w:t>
            </w:r>
          </w:p>
        </w:tc>
      </w:tr>
      <w:tr w:rsidR="00A6124E" w:rsidRPr="00373F67" w:rsidTr="00A45AEA">
        <w:trPr>
          <w:trHeight w:val="410"/>
        </w:trPr>
        <w:tc>
          <w:tcPr>
            <w:tcW w:w="2987" w:type="dxa"/>
            <w:tcBorders>
              <w:top w:val="single" w:sz="8" w:space="0" w:color="FFFFFF"/>
              <w:left w:val="single" w:sz="8" w:space="0" w:color="FFFFFF"/>
              <w:bottom w:val="single" w:sz="4" w:space="0" w:color="A6A6A6" w:themeColor="background1" w:themeShade="A6"/>
              <w:right w:val="single" w:sz="8" w:space="0" w:color="FFFFFF"/>
            </w:tcBorders>
            <w:shd w:val="clear" w:color="auto" w:fill="auto"/>
            <w:tcMar>
              <w:top w:w="15" w:type="dxa"/>
              <w:left w:w="104" w:type="dxa"/>
              <w:bottom w:w="0" w:type="dxa"/>
              <w:right w:w="104" w:type="dxa"/>
            </w:tcMar>
            <w:hideMark/>
          </w:tcPr>
          <w:p w:rsidR="00A6124E" w:rsidRPr="00373F67" w:rsidRDefault="00A6124E" w:rsidP="00A132D8">
            <w:pPr>
              <w:jc w:val="both"/>
              <w:rPr>
                <w:rFonts w:cs="Arial"/>
                <w:color w:val="000000" w:themeColor="text1"/>
                <w:sz w:val="18"/>
                <w:lang w:val="bs-Latn-BA"/>
              </w:rPr>
            </w:pPr>
            <w:r w:rsidRPr="00373F67">
              <w:rPr>
                <w:rFonts w:cs="Arial"/>
                <w:color w:val="000000" w:themeColor="text1"/>
                <w:sz w:val="18"/>
                <w:lang w:val="bs-Latn-BA"/>
              </w:rPr>
              <w:t>Stepen razvijenosti</w:t>
            </w:r>
          </w:p>
        </w:tc>
        <w:tc>
          <w:tcPr>
            <w:tcW w:w="1727" w:type="dxa"/>
            <w:tcBorders>
              <w:top w:val="single" w:sz="8" w:space="0" w:color="FFFFFF"/>
              <w:left w:val="single" w:sz="8" w:space="0" w:color="FFFFFF"/>
              <w:bottom w:val="single" w:sz="4" w:space="0" w:color="A6A6A6" w:themeColor="background1" w:themeShade="A6"/>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4</w:t>
            </w:r>
          </w:p>
        </w:tc>
        <w:tc>
          <w:tcPr>
            <w:tcW w:w="2350" w:type="dxa"/>
            <w:tcBorders>
              <w:top w:val="single" w:sz="8" w:space="0" w:color="FFFFFF"/>
              <w:left w:val="single" w:sz="8" w:space="0" w:color="FFFFFF"/>
              <w:bottom w:val="single" w:sz="4" w:space="0" w:color="A6A6A6" w:themeColor="background1" w:themeShade="A6"/>
              <w:right w:val="single" w:sz="8" w:space="0" w:color="FFFFFF"/>
            </w:tcBorders>
            <w:shd w:val="clear" w:color="auto" w:fill="auto"/>
            <w:tcMar>
              <w:top w:w="15" w:type="dxa"/>
              <w:left w:w="104" w:type="dxa"/>
              <w:bottom w:w="0" w:type="dxa"/>
              <w:right w:w="104" w:type="dxa"/>
            </w:tcMar>
          </w:tcPr>
          <w:p w:rsidR="00A6124E" w:rsidRPr="00373F67" w:rsidRDefault="00A6124E" w:rsidP="00A132D8">
            <w:pPr>
              <w:jc w:val="center"/>
              <w:rPr>
                <w:rFonts w:cs="Arial"/>
                <w:color w:val="000000" w:themeColor="text1"/>
                <w:sz w:val="18"/>
                <w:lang w:val="bs-Latn-BA"/>
              </w:rPr>
            </w:pPr>
            <w:r w:rsidRPr="00373F67">
              <w:rPr>
                <w:rFonts w:cs="Arial"/>
                <w:color w:val="000000" w:themeColor="text1"/>
                <w:sz w:val="18"/>
                <w:lang w:val="bs-Latn-BA"/>
              </w:rPr>
              <w:t>3</w:t>
            </w:r>
          </w:p>
        </w:tc>
      </w:tr>
    </w:tbl>
    <w:p w:rsidR="00A6124E" w:rsidRPr="00373F67" w:rsidRDefault="00A6124E" w:rsidP="00F24DAB">
      <w:pPr>
        <w:ind w:left="5664"/>
        <w:rPr>
          <w:rFonts w:cs="Arial"/>
          <w:i/>
          <w:iCs/>
          <w:color w:val="000000" w:themeColor="text1"/>
          <w:sz w:val="18"/>
          <w:lang w:val="bs-Latn-BA"/>
        </w:rPr>
      </w:pPr>
      <w:r w:rsidRPr="00373F67">
        <w:rPr>
          <w:rFonts w:cs="Arial"/>
          <w:i/>
          <w:iCs/>
          <w:color w:val="000000" w:themeColor="text1"/>
          <w:sz w:val="18"/>
          <w:lang w:val="bs-Latn-BA"/>
        </w:rPr>
        <w:t>Izvor: Ministarstvo ekonomije Crne Gore</w:t>
      </w:r>
    </w:p>
    <w:p w:rsidR="00A6124E" w:rsidRPr="00373F67" w:rsidRDefault="00A6124E" w:rsidP="00A6124E">
      <w:pPr>
        <w:jc w:val="both"/>
        <w:rPr>
          <w:rFonts w:cs="Arial"/>
          <w:color w:val="000000" w:themeColor="text1"/>
          <w:szCs w:val="20"/>
          <w:lang w:val="bs-Latn-BA"/>
        </w:rPr>
      </w:pPr>
    </w:p>
    <w:p w:rsidR="00A6124E" w:rsidRPr="005E3980" w:rsidRDefault="00A6124E" w:rsidP="005E3980">
      <w:pPr>
        <w:jc w:val="both"/>
        <w:rPr>
          <w:color w:val="000000" w:themeColor="text1"/>
          <w:sz w:val="22"/>
          <w:szCs w:val="22"/>
        </w:rPr>
      </w:pPr>
      <w:r w:rsidRPr="005E3980">
        <w:rPr>
          <w:color w:val="000000" w:themeColor="text1"/>
          <w:sz w:val="22"/>
          <w:szCs w:val="22"/>
        </w:rPr>
        <w:t xml:space="preserve">Kad je riječ o indikatoru – </w:t>
      </w:r>
      <w:r w:rsidRPr="005E3980">
        <w:rPr>
          <w:i/>
          <w:iCs/>
          <w:color w:val="000000" w:themeColor="text1"/>
          <w:sz w:val="22"/>
          <w:szCs w:val="22"/>
        </w:rPr>
        <w:t>indeksu razvijenosti jedinica lokalne samouprave</w:t>
      </w:r>
      <w:r w:rsidRPr="005E3980">
        <w:rPr>
          <w:rStyle w:val="FootnoteReference"/>
          <w:sz w:val="22"/>
          <w:szCs w:val="22"/>
        </w:rPr>
        <w:footnoteReference w:id="4"/>
      </w:r>
      <w:r w:rsidRPr="005E3980">
        <w:rPr>
          <w:color w:val="000000" w:themeColor="text1"/>
          <w:sz w:val="22"/>
          <w:szCs w:val="22"/>
        </w:rPr>
        <w:t xml:space="preserve">, u periodu 2016-2018. u Glavnom gradu je ovaj pokazatelj bio na nivou od 122,11, što opet pokazuje rezultat iznad prosjeka u odnosu na nivo Crne Gore. Takođe, ovaj pokazatelj je zabilježio rast  u odnosu na 2013-2015. godinu kada je indeks razvijenosti za Podgoricu iznosio 120,19 (Crna Gora =100). </w:t>
      </w:r>
      <w:r w:rsidR="00A301FC">
        <w:rPr>
          <w:color w:val="000000" w:themeColor="text1"/>
          <w:sz w:val="22"/>
          <w:szCs w:val="22"/>
        </w:rPr>
        <w:t>Dodatno</w:t>
      </w:r>
      <w:r w:rsidRPr="005E3980">
        <w:rPr>
          <w:color w:val="000000" w:themeColor="text1"/>
          <w:sz w:val="22"/>
          <w:szCs w:val="22"/>
        </w:rPr>
        <w:t xml:space="preserve">, zabilježen je rast na rang listi opština prema nivou razvijenosti, tako da je Podgorica zauzela treću poziciju, odmah iza Budve i Tivta. </w:t>
      </w:r>
    </w:p>
    <w:p w:rsidR="00A6124E" w:rsidRPr="00373F67" w:rsidRDefault="00A6124E" w:rsidP="00A6124E">
      <w:pPr>
        <w:rPr>
          <w:i/>
          <w:iCs/>
          <w:lang w:val="bs-Latn-BA"/>
        </w:rPr>
      </w:pPr>
    </w:p>
    <w:p w:rsidR="00A6124E" w:rsidRDefault="007909E6" w:rsidP="007909E6">
      <w:pPr>
        <w:pStyle w:val="Heading3"/>
        <w:numPr>
          <w:ilvl w:val="2"/>
          <w:numId w:val="6"/>
        </w:numPr>
        <w:rPr>
          <w:lang w:val="bs-Latn-BA"/>
        </w:rPr>
      </w:pPr>
      <w:r>
        <w:rPr>
          <w:lang w:val="bs-Latn-BA"/>
        </w:rPr>
        <w:t xml:space="preserve">Poslovni i privredni subjekti </w:t>
      </w:r>
    </w:p>
    <w:p w:rsidR="007909E6" w:rsidRPr="007909E6" w:rsidRDefault="007909E6" w:rsidP="007909E6">
      <w:pPr>
        <w:ind w:left="66"/>
        <w:rPr>
          <w:lang w:val="bs-Latn-BA"/>
        </w:rPr>
      </w:pPr>
    </w:p>
    <w:p w:rsidR="00A6124E" w:rsidRPr="00373F67" w:rsidRDefault="00A6124E" w:rsidP="005E3980">
      <w:pPr>
        <w:jc w:val="both"/>
        <w:rPr>
          <w:rFonts w:cs="Arial"/>
          <w:color w:val="000000" w:themeColor="text1"/>
          <w:sz w:val="22"/>
          <w:szCs w:val="22"/>
        </w:rPr>
      </w:pPr>
      <w:r w:rsidRPr="00373F67">
        <w:rPr>
          <w:color w:val="000000" w:themeColor="text1"/>
          <w:sz w:val="22"/>
          <w:szCs w:val="22"/>
          <w:lang w:val="bs-Latn-BA"/>
        </w:rPr>
        <w:t>Prema podacima Monstata (</w:t>
      </w:r>
      <w:r w:rsidRPr="00373F67">
        <w:rPr>
          <w:rFonts w:eastAsia="Arial"/>
          <w:sz w:val="22"/>
          <w:szCs w:val="22"/>
          <w:lang w:val="bs-Latn-BA"/>
        </w:rPr>
        <w:t>Statistički  biznis registar Crne Gore)</w:t>
      </w:r>
      <w:r w:rsidRPr="00373F67">
        <w:rPr>
          <w:color w:val="000000" w:themeColor="text1"/>
          <w:sz w:val="22"/>
          <w:szCs w:val="22"/>
          <w:lang w:val="bs-Latn-BA"/>
        </w:rPr>
        <w:t>, u 2019. godini ukupan broj privrednih subjekata u Glavnom gradu Podgorici je iznosio 12</w:t>
      </w:r>
      <w:r w:rsidR="00CD262E">
        <w:rPr>
          <w:color w:val="000000" w:themeColor="text1"/>
          <w:sz w:val="22"/>
          <w:szCs w:val="22"/>
          <w:lang w:val="bs-Latn-BA"/>
        </w:rPr>
        <w:t>.</w:t>
      </w:r>
      <w:r w:rsidRPr="00373F67">
        <w:rPr>
          <w:color w:val="000000" w:themeColor="text1"/>
          <w:sz w:val="22"/>
          <w:szCs w:val="22"/>
          <w:lang w:val="bs-Latn-BA"/>
        </w:rPr>
        <w:t>565, što je za 78,4%</w:t>
      </w:r>
      <w:r w:rsidRPr="00373F67">
        <w:rPr>
          <w:rFonts w:cs="Arial"/>
          <w:color w:val="000000" w:themeColor="text1"/>
          <w:sz w:val="22"/>
          <w:szCs w:val="22"/>
          <w:lang w:val="bs-Latn-BA"/>
        </w:rPr>
        <w:t xml:space="preserve"> </w:t>
      </w:r>
      <w:r w:rsidRPr="00373F67">
        <w:rPr>
          <w:rFonts w:cs="Arial"/>
          <w:color w:val="000000" w:themeColor="text1"/>
          <w:sz w:val="22"/>
          <w:szCs w:val="22"/>
        </w:rPr>
        <w:t xml:space="preserve">više u odnosu na 2011. godinu. Ipak, treba dodati da u 2019. </w:t>
      </w:r>
      <w:r w:rsidR="00A301FC">
        <w:rPr>
          <w:rFonts w:cs="Arial"/>
          <w:color w:val="000000" w:themeColor="text1"/>
          <w:sz w:val="22"/>
          <w:szCs w:val="22"/>
        </w:rPr>
        <w:t xml:space="preserve">god. </w:t>
      </w:r>
      <w:r w:rsidRPr="00373F67">
        <w:rPr>
          <w:rFonts w:cs="Arial"/>
          <w:color w:val="000000" w:themeColor="text1"/>
          <w:sz w:val="22"/>
          <w:szCs w:val="22"/>
        </w:rPr>
        <w:t>nijesu uračunati privredni subjekti iz opštine Tuzi, što ukazuje na još veći procentualni rast tokom posmatranog perioda (koji bi zajedno sa privrednim subjektima iz Tuzi iznosio 79%)</w:t>
      </w:r>
    </w:p>
    <w:p w:rsidR="00A6124E" w:rsidRPr="00373F67" w:rsidRDefault="00A6124E" w:rsidP="005E3980">
      <w:pPr>
        <w:rPr>
          <w:rFonts w:cs="Arial"/>
          <w:color w:val="000000" w:themeColor="text1"/>
          <w:szCs w:val="20"/>
          <w:lang w:val="bs-Latn-BA"/>
        </w:rPr>
      </w:pPr>
    </w:p>
    <w:p w:rsidR="00A6124E" w:rsidRDefault="00A6124E" w:rsidP="005E3980">
      <w:pPr>
        <w:rPr>
          <w:rFonts w:cs="Arial"/>
          <w:color w:val="000000" w:themeColor="text1"/>
          <w:szCs w:val="20"/>
          <w:lang w:val="bs-Latn-BA"/>
        </w:rPr>
      </w:pPr>
      <w:r w:rsidRPr="00373F67">
        <w:rPr>
          <w:rFonts w:cs="Arial"/>
          <w:color w:val="000000" w:themeColor="text1"/>
          <w:szCs w:val="20"/>
          <w:lang w:val="bs-Latn-BA"/>
        </w:rPr>
        <w:t>Grafik 3. Broj aktivnih poslovnih subjekata u Podgorici</w:t>
      </w:r>
    </w:p>
    <w:p w:rsidR="006A18D1" w:rsidRPr="00373F67" w:rsidRDefault="006A18D1" w:rsidP="005E3980">
      <w:pPr>
        <w:rPr>
          <w:rFonts w:cs="Arial"/>
          <w:color w:val="000000" w:themeColor="text1"/>
          <w:szCs w:val="20"/>
          <w:lang w:val="bs-Latn-BA"/>
        </w:rPr>
      </w:pPr>
    </w:p>
    <w:p w:rsidR="00A6124E" w:rsidRPr="00373F67" w:rsidRDefault="00CD262E" w:rsidP="005E3980">
      <w:pPr>
        <w:jc w:val="center"/>
        <w:rPr>
          <w:noProof/>
          <w:lang w:val="bs-Latn-BA"/>
        </w:rPr>
      </w:pPr>
      <w:r>
        <w:rPr>
          <w:noProof/>
          <w:lang w:val="en-US"/>
        </w:rPr>
        <w:drawing>
          <wp:inline distT="0" distB="0" distL="0" distR="0">
            <wp:extent cx="4960620" cy="1562100"/>
            <wp:effectExtent l="0" t="0" r="11430" b="19050"/>
            <wp:docPr id="19" name="Grafikon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24B15ACA-E14E-42BE-B225-5A3E52AC0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124E" w:rsidRPr="00373F67" w:rsidRDefault="00A6124E" w:rsidP="005E3980">
      <w:pPr>
        <w:tabs>
          <w:tab w:val="left" w:pos="1567"/>
        </w:tabs>
        <w:ind w:left="6372"/>
        <w:jc w:val="center"/>
        <w:rPr>
          <w:i/>
          <w:iCs/>
          <w:noProof/>
          <w:sz w:val="18"/>
          <w:lang w:val="bs-Latn-BA"/>
        </w:rPr>
      </w:pPr>
      <w:r w:rsidRPr="00373F67">
        <w:rPr>
          <w:i/>
          <w:iCs/>
          <w:noProof/>
          <w:sz w:val="18"/>
          <w:lang w:val="bs-Latn-BA"/>
        </w:rPr>
        <w:t>Izvor: MONSTAT</w:t>
      </w:r>
    </w:p>
    <w:p w:rsidR="00A6124E" w:rsidRPr="00373F67" w:rsidRDefault="00A6124E" w:rsidP="005E3980">
      <w:pPr>
        <w:jc w:val="both"/>
        <w:rPr>
          <w:rFonts w:cs="Arial"/>
          <w:color w:val="000000" w:themeColor="text1"/>
          <w:sz w:val="22"/>
          <w:szCs w:val="22"/>
          <w:lang w:val="bs-Latn-BA"/>
        </w:rPr>
      </w:pPr>
      <w:r w:rsidRPr="00373F67">
        <w:rPr>
          <w:rFonts w:cs="Arial"/>
          <w:color w:val="000000" w:themeColor="text1"/>
          <w:sz w:val="22"/>
          <w:szCs w:val="22"/>
          <w:lang w:val="bs-Latn-BA"/>
        </w:rPr>
        <w:t>Ovaj rast je prvenstveno posljedica rasta sektora građevinarstva, trgovine, stručnih, naučnih tehničkih i inovacionih djelatnosti i sl. Broj aktivnih poslovnih subjekata u Glavnom gradu u 2019. godini predstavlja skoro četiri petine (79,2%) svih aktivnih poslovnih subjekata u Središnjem regionu i preko jedne trećine (36,2%) svih aktivnih poslovnih subjekata u Crnoj Gori.</w:t>
      </w:r>
    </w:p>
    <w:p w:rsidR="00A6124E" w:rsidRPr="00373F67" w:rsidRDefault="00A6124E" w:rsidP="005E3980">
      <w:pPr>
        <w:jc w:val="both"/>
        <w:rPr>
          <w:rFonts w:cs="Arial"/>
          <w:color w:val="000000" w:themeColor="text1"/>
          <w:sz w:val="22"/>
          <w:szCs w:val="22"/>
          <w:lang w:val="bs-Latn-BA"/>
        </w:rPr>
      </w:pPr>
    </w:p>
    <w:p w:rsidR="00A6124E" w:rsidRPr="00373F67" w:rsidRDefault="00A6124E" w:rsidP="005E3980">
      <w:pPr>
        <w:jc w:val="both"/>
        <w:rPr>
          <w:rFonts w:cs="Arial"/>
          <w:color w:val="000000" w:themeColor="text1"/>
          <w:szCs w:val="20"/>
          <w:lang w:val="bs-Latn-BA"/>
        </w:rPr>
      </w:pPr>
      <w:r w:rsidRPr="00373F67">
        <w:rPr>
          <w:rFonts w:eastAsia="Times New Roman" w:cs="Arial"/>
          <w:color w:val="000000"/>
          <w:szCs w:val="20"/>
          <w:lang w:val="bs-Latn-BA" w:eastAsia="sl-SI"/>
        </w:rPr>
        <w:t>Tabela 5: Aktivni poslovni subjekt</w:t>
      </w:r>
      <w:r w:rsidR="00860D03">
        <w:rPr>
          <w:rFonts w:eastAsia="Times New Roman" w:cs="Arial"/>
          <w:color w:val="000000"/>
          <w:szCs w:val="20"/>
          <w:lang w:val="bs-Latn-BA" w:eastAsia="sl-SI"/>
        </w:rPr>
        <w:t>i</w:t>
      </w:r>
      <w:r w:rsidRPr="00373F67">
        <w:rPr>
          <w:rFonts w:eastAsia="Times New Roman" w:cs="Arial"/>
          <w:color w:val="000000"/>
          <w:szCs w:val="20"/>
          <w:lang w:val="bs-Latn-BA" w:eastAsia="sl-SI"/>
        </w:rPr>
        <w:t xml:space="preserve"> na ukupan broj stanovnika</w:t>
      </w:r>
    </w:p>
    <w:tbl>
      <w:tblPr>
        <w:tblStyle w:val="PlainTable21"/>
        <w:tblpPr w:leftFromText="141" w:rightFromText="141" w:vertAnchor="text" w:horzAnchor="page" w:tblpX="2281" w:tblpY="142"/>
        <w:tblW w:w="7645" w:type="dxa"/>
        <w:tblBorders>
          <w:top w:val="dotted" w:sz="4" w:space="0" w:color="auto"/>
          <w:bottom w:val="dotted" w:sz="4" w:space="0" w:color="auto"/>
          <w:insideH w:val="dotted" w:sz="4" w:space="0" w:color="auto"/>
          <w:insideV w:val="dotted" w:sz="4" w:space="0" w:color="auto"/>
        </w:tblBorders>
        <w:tblLook w:val="04A0"/>
      </w:tblPr>
      <w:tblGrid>
        <w:gridCol w:w="1723"/>
        <w:gridCol w:w="1687"/>
        <w:gridCol w:w="1464"/>
        <w:gridCol w:w="1300"/>
        <w:gridCol w:w="1471"/>
      </w:tblGrid>
      <w:tr w:rsidR="00A6124E" w:rsidRPr="00373F67" w:rsidTr="00FC2D96">
        <w:trPr>
          <w:cnfStyle w:val="100000000000"/>
          <w:trHeight w:val="387"/>
        </w:trPr>
        <w:tc>
          <w:tcPr>
            <w:cnfStyle w:val="001000000000"/>
            <w:tcW w:w="1723" w:type="dxa"/>
            <w:vMerge w:val="restart"/>
            <w:tcBorders>
              <w:top w:val="single" w:sz="4" w:space="0" w:color="A6A6A6" w:themeColor="background1" w:themeShade="A6"/>
              <w:bottom w:val="none" w:sz="0" w:space="0" w:color="auto"/>
              <w:right w:val="nil"/>
            </w:tcBorders>
            <w:shd w:val="clear" w:color="auto" w:fill="FFD966" w:themeFill="accent4" w:themeFillTint="99"/>
            <w:noWrap/>
            <w:hideMark/>
          </w:tcPr>
          <w:p w:rsidR="00A6124E" w:rsidRPr="00373F67" w:rsidRDefault="00A6124E" w:rsidP="005E3980">
            <w:pPr>
              <w:jc w:val="center"/>
              <w:rPr>
                <w:rFonts w:eastAsia="Times New Roman" w:cs="Arial"/>
                <w:color w:val="000000"/>
                <w:sz w:val="18"/>
                <w:lang w:val="bs-Latn-BA" w:eastAsia="sl-SI"/>
              </w:rPr>
            </w:pPr>
          </w:p>
        </w:tc>
        <w:tc>
          <w:tcPr>
            <w:tcW w:w="5922" w:type="dxa"/>
            <w:gridSpan w:val="4"/>
            <w:vMerge w:val="restart"/>
            <w:tcBorders>
              <w:top w:val="single" w:sz="4" w:space="0" w:color="A6A6A6" w:themeColor="background1" w:themeShade="A6"/>
              <w:left w:val="nil"/>
              <w:bottom w:val="single" w:sz="4" w:space="0" w:color="A6A6A6" w:themeColor="background1" w:themeShade="A6"/>
            </w:tcBorders>
            <w:shd w:val="clear" w:color="auto" w:fill="FFD966" w:themeFill="accent4" w:themeFillTint="99"/>
            <w:hideMark/>
          </w:tcPr>
          <w:p w:rsidR="00A6124E" w:rsidRPr="00A301FC" w:rsidRDefault="00A6124E" w:rsidP="00A301FC">
            <w:pPr>
              <w:jc w:val="center"/>
              <w:cnfStyle w:val="100000000000"/>
              <w:rPr>
                <w:rFonts w:eastAsia="Times New Roman" w:cs="Arial"/>
                <w:b w:val="0"/>
                <w:bCs w:val="0"/>
                <w:color w:val="000000"/>
                <w:sz w:val="18"/>
                <w:lang w:val="bs-Latn-BA" w:eastAsia="sl-SI"/>
              </w:rPr>
            </w:pPr>
            <w:r w:rsidRPr="00767812">
              <w:rPr>
                <w:rFonts w:eastAsia="Times New Roman" w:cs="Arial"/>
                <w:b w:val="0"/>
                <w:bCs w:val="0"/>
                <w:color w:val="000000"/>
                <w:sz w:val="18"/>
                <w:lang w:val="bs-Latn-BA" w:eastAsia="sl-SI"/>
              </w:rPr>
              <w:t>Aktivni poslovni subjekti/ukupan broj stanovnika *100</w:t>
            </w:r>
          </w:p>
        </w:tc>
      </w:tr>
      <w:tr w:rsidR="00A6124E" w:rsidRPr="00373F67" w:rsidTr="00A301FC">
        <w:trPr>
          <w:cnfStyle w:val="000000100000"/>
          <w:trHeight w:val="211"/>
        </w:trPr>
        <w:tc>
          <w:tcPr>
            <w:cnfStyle w:val="001000000000"/>
            <w:tcW w:w="1723" w:type="dxa"/>
            <w:vMerge/>
            <w:tcBorders>
              <w:top w:val="none" w:sz="0" w:space="0" w:color="auto"/>
              <w:bottom w:val="none" w:sz="0" w:space="0" w:color="auto"/>
              <w:right w:val="nil"/>
            </w:tcBorders>
            <w:shd w:val="clear" w:color="auto" w:fill="FFD966" w:themeFill="accent4" w:themeFillTint="99"/>
            <w:hideMark/>
          </w:tcPr>
          <w:p w:rsidR="00A6124E" w:rsidRPr="00373F67" w:rsidRDefault="00A6124E" w:rsidP="005E3980">
            <w:pPr>
              <w:rPr>
                <w:rFonts w:eastAsia="Times New Roman" w:cs="Arial"/>
                <w:color w:val="000000"/>
                <w:sz w:val="18"/>
                <w:lang w:val="bs-Latn-BA" w:eastAsia="sl-SI"/>
              </w:rPr>
            </w:pPr>
          </w:p>
        </w:tc>
        <w:tc>
          <w:tcPr>
            <w:tcW w:w="5922" w:type="dxa"/>
            <w:gridSpan w:val="4"/>
            <w:vMerge/>
            <w:tcBorders>
              <w:top w:val="nil"/>
              <w:left w:val="nil"/>
              <w:bottom w:val="single" w:sz="4" w:space="0" w:color="A6A6A6" w:themeColor="background1" w:themeShade="A6"/>
            </w:tcBorders>
            <w:shd w:val="clear" w:color="auto" w:fill="FFD966" w:themeFill="accent4" w:themeFillTint="99"/>
            <w:hideMark/>
          </w:tcPr>
          <w:p w:rsidR="00A6124E" w:rsidRPr="00373F67" w:rsidRDefault="00A6124E" w:rsidP="005E3980">
            <w:pPr>
              <w:cnfStyle w:val="000000100000"/>
              <w:rPr>
                <w:rFonts w:eastAsia="Times New Roman" w:cs="Arial"/>
                <w:color w:val="000000"/>
                <w:sz w:val="18"/>
                <w:lang w:val="bs-Latn-BA" w:eastAsia="sl-SI"/>
              </w:rPr>
            </w:pPr>
          </w:p>
        </w:tc>
      </w:tr>
      <w:tr w:rsidR="00A6124E" w:rsidRPr="00373F67" w:rsidTr="00FC2D96">
        <w:trPr>
          <w:trHeight w:val="232"/>
        </w:trPr>
        <w:tc>
          <w:tcPr>
            <w:cnfStyle w:val="001000000000"/>
            <w:tcW w:w="1723" w:type="dxa"/>
            <w:vMerge/>
            <w:tcBorders>
              <w:right w:val="nil"/>
            </w:tcBorders>
            <w:shd w:val="clear" w:color="auto" w:fill="FFD966" w:themeFill="accent4" w:themeFillTint="99"/>
            <w:hideMark/>
          </w:tcPr>
          <w:p w:rsidR="00A6124E" w:rsidRPr="00373F67" w:rsidRDefault="00A6124E" w:rsidP="005E3980">
            <w:pPr>
              <w:rPr>
                <w:rFonts w:eastAsia="Times New Roman" w:cs="Arial"/>
                <w:color w:val="000000"/>
                <w:sz w:val="18"/>
                <w:lang w:val="bs-Latn-BA" w:eastAsia="sl-SI"/>
              </w:rPr>
            </w:pPr>
          </w:p>
        </w:tc>
        <w:tc>
          <w:tcPr>
            <w:tcW w:w="1687" w:type="dxa"/>
            <w:tcBorders>
              <w:top w:val="single" w:sz="4" w:space="0" w:color="A6A6A6" w:themeColor="background1" w:themeShade="A6"/>
              <w:left w:val="nil"/>
              <w:bottom w:val="single" w:sz="4" w:space="0" w:color="A6A6A6" w:themeColor="background1" w:themeShade="A6"/>
              <w:right w:val="nil"/>
            </w:tcBorders>
            <w:shd w:val="clear" w:color="auto" w:fill="FFD966" w:themeFill="accent4" w:themeFillTint="99"/>
            <w:hideMark/>
          </w:tcPr>
          <w:p w:rsidR="00A6124E" w:rsidRPr="00373F67" w:rsidRDefault="00A6124E" w:rsidP="005E3980">
            <w:pPr>
              <w:jc w:val="center"/>
              <w:cnfStyle w:val="000000000000"/>
              <w:rPr>
                <w:rFonts w:eastAsia="Times New Roman" w:cs="Arial"/>
                <w:color w:val="000000"/>
                <w:sz w:val="18"/>
                <w:lang w:val="bs-Latn-BA" w:eastAsia="sl-SI"/>
              </w:rPr>
            </w:pPr>
            <w:r w:rsidRPr="00373F67">
              <w:rPr>
                <w:rFonts w:eastAsia="Times New Roman" w:cs="Arial"/>
                <w:color w:val="000000"/>
                <w:sz w:val="18"/>
                <w:lang w:val="bs-Latn-BA" w:eastAsia="sl-SI"/>
              </w:rPr>
              <w:t>2011.</w:t>
            </w:r>
          </w:p>
        </w:tc>
        <w:tc>
          <w:tcPr>
            <w:tcW w:w="1464" w:type="dxa"/>
            <w:tcBorders>
              <w:top w:val="single" w:sz="4" w:space="0" w:color="A6A6A6" w:themeColor="background1" w:themeShade="A6"/>
              <w:left w:val="nil"/>
              <w:bottom w:val="single" w:sz="4" w:space="0" w:color="A6A6A6" w:themeColor="background1" w:themeShade="A6"/>
              <w:right w:val="single" w:sz="4" w:space="0" w:color="DBDBDB" w:themeColor="accent3" w:themeTint="66"/>
            </w:tcBorders>
            <w:shd w:val="clear" w:color="auto" w:fill="FFD966" w:themeFill="accent4" w:themeFillTint="99"/>
            <w:hideMark/>
          </w:tcPr>
          <w:p w:rsidR="00A6124E" w:rsidRPr="00373F67" w:rsidRDefault="00A6124E" w:rsidP="005E3980">
            <w:pPr>
              <w:jc w:val="center"/>
              <w:cnfStyle w:val="000000000000"/>
              <w:rPr>
                <w:rFonts w:eastAsia="Times New Roman" w:cs="Arial"/>
                <w:color w:val="000000"/>
                <w:sz w:val="18"/>
                <w:lang w:val="bs-Latn-BA" w:eastAsia="sl-SI"/>
              </w:rPr>
            </w:pPr>
            <w:r w:rsidRPr="00373F67">
              <w:rPr>
                <w:rFonts w:eastAsia="Times New Roman" w:cs="Arial"/>
                <w:color w:val="000000"/>
                <w:sz w:val="18"/>
                <w:lang w:val="bs-Latn-BA" w:eastAsia="sl-SI"/>
              </w:rPr>
              <w:t>2016.</w:t>
            </w:r>
          </w:p>
        </w:tc>
        <w:tc>
          <w:tcPr>
            <w:tcW w:w="1300" w:type="dxa"/>
            <w:tcBorders>
              <w:top w:val="single" w:sz="4" w:space="0" w:color="A6A6A6" w:themeColor="background1" w:themeShade="A6"/>
              <w:left w:val="single" w:sz="4" w:space="0" w:color="DBDBDB" w:themeColor="accent3" w:themeTint="66"/>
              <w:bottom w:val="single" w:sz="4" w:space="0" w:color="A6A6A6" w:themeColor="background1" w:themeShade="A6"/>
              <w:right w:val="single" w:sz="4" w:space="0" w:color="DBDBDB" w:themeColor="accent3" w:themeTint="66"/>
            </w:tcBorders>
            <w:shd w:val="clear" w:color="auto" w:fill="FFD966" w:themeFill="accent4" w:themeFillTint="99"/>
            <w:hideMark/>
          </w:tcPr>
          <w:p w:rsidR="00A6124E" w:rsidRPr="00373F67" w:rsidRDefault="00A6124E" w:rsidP="005E3980">
            <w:pPr>
              <w:jc w:val="center"/>
              <w:cnfStyle w:val="000000000000"/>
              <w:rPr>
                <w:rFonts w:eastAsia="Times New Roman" w:cs="Arial"/>
                <w:color w:val="000000"/>
                <w:sz w:val="18"/>
                <w:lang w:val="bs-Latn-BA" w:eastAsia="sl-SI"/>
              </w:rPr>
            </w:pPr>
            <w:r w:rsidRPr="00373F67">
              <w:rPr>
                <w:rFonts w:eastAsia="Times New Roman" w:cs="Arial"/>
                <w:color w:val="000000"/>
                <w:sz w:val="18"/>
                <w:lang w:val="bs-Latn-BA" w:eastAsia="sl-SI"/>
              </w:rPr>
              <w:t>2018.</w:t>
            </w:r>
          </w:p>
        </w:tc>
        <w:tc>
          <w:tcPr>
            <w:tcW w:w="1470" w:type="dxa"/>
            <w:tcBorders>
              <w:top w:val="single" w:sz="4" w:space="0" w:color="A6A6A6" w:themeColor="background1" w:themeShade="A6"/>
              <w:left w:val="single" w:sz="4" w:space="0" w:color="DBDBDB" w:themeColor="accent3" w:themeTint="66"/>
              <w:bottom w:val="single" w:sz="4" w:space="0" w:color="A6A6A6" w:themeColor="background1" w:themeShade="A6"/>
              <w:right w:val="nil"/>
            </w:tcBorders>
            <w:shd w:val="clear" w:color="auto" w:fill="FFD966" w:themeFill="accent4" w:themeFillTint="99"/>
            <w:hideMark/>
          </w:tcPr>
          <w:p w:rsidR="00A6124E" w:rsidRPr="00373F67" w:rsidRDefault="00A6124E" w:rsidP="005E3980">
            <w:pPr>
              <w:jc w:val="center"/>
              <w:cnfStyle w:val="000000000000"/>
              <w:rPr>
                <w:rFonts w:eastAsia="Times New Roman" w:cs="Arial"/>
                <w:color w:val="000000"/>
                <w:sz w:val="18"/>
                <w:lang w:val="bs-Latn-BA" w:eastAsia="sl-SI"/>
              </w:rPr>
            </w:pPr>
            <w:r w:rsidRPr="00373F67">
              <w:rPr>
                <w:rFonts w:eastAsia="Times New Roman" w:cs="Arial"/>
                <w:color w:val="000000"/>
                <w:sz w:val="18"/>
                <w:lang w:val="bs-Latn-BA" w:eastAsia="sl-SI"/>
              </w:rPr>
              <w:t>2019</w:t>
            </w:r>
          </w:p>
        </w:tc>
      </w:tr>
      <w:tr w:rsidR="00A6124E" w:rsidRPr="00373F67" w:rsidTr="00FC2D96">
        <w:trPr>
          <w:cnfStyle w:val="000000100000"/>
          <w:trHeight w:val="232"/>
        </w:trPr>
        <w:tc>
          <w:tcPr>
            <w:cnfStyle w:val="001000000000"/>
            <w:tcW w:w="1723" w:type="dxa"/>
            <w:tcBorders>
              <w:top w:val="none" w:sz="0" w:space="0" w:color="auto"/>
              <w:bottom w:val="none" w:sz="0" w:space="0" w:color="auto"/>
              <w:right w:val="nil"/>
            </w:tcBorders>
            <w:noWrap/>
          </w:tcPr>
          <w:p w:rsidR="00A6124E" w:rsidRPr="00767812" w:rsidRDefault="00A6124E" w:rsidP="005E3980">
            <w:pPr>
              <w:rPr>
                <w:rFonts w:eastAsia="Times New Roman" w:cs="Arial"/>
                <w:b w:val="0"/>
                <w:bCs w:val="0"/>
                <w:color w:val="000000"/>
                <w:sz w:val="18"/>
                <w:lang w:val="bs-Latn-BA" w:eastAsia="sl-SI"/>
              </w:rPr>
            </w:pPr>
            <w:r w:rsidRPr="00767812">
              <w:rPr>
                <w:rFonts w:eastAsia="Times New Roman" w:cs="Arial"/>
                <w:b w:val="0"/>
                <w:bCs w:val="0"/>
                <w:color w:val="000000"/>
                <w:sz w:val="18"/>
                <w:lang w:val="bs-Latn-BA" w:eastAsia="sl-SI"/>
              </w:rPr>
              <w:t>Podgorica</w:t>
            </w:r>
          </w:p>
        </w:tc>
        <w:tc>
          <w:tcPr>
            <w:tcW w:w="1687" w:type="dxa"/>
            <w:tcBorders>
              <w:top w:val="single" w:sz="4" w:space="0" w:color="A6A6A6" w:themeColor="background1" w:themeShade="A6"/>
              <w:left w:val="nil"/>
              <w:bottom w:val="single" w:sz="4" w:space="0" w:color="A6A6A6" w:themeColor="background1" w:themeShade="A6"/>
              <w:right w:val="nil"/>
            </w:tcBorders>
            <w:noWrap/>
            <w:vAlign w:val="bottom"/>
          </w:tcPr>
          <w:p w:rsidR="00A6124E" w:rsidRPr="00373F67" w:rsidRDefault="00A6124E" w:rsidP="005E3980">
            <w:pPr>
              <w:jc w:val="center"/>
              <w:cnfStyle w:val="000000100000"/>
              <w:rPr>
                <w:rFonts w:eastAsia="Times New Roman" w:cs="Arial"/>
                <w:color w:val="000000"/>
                <w:sz w:val="18"/>
                <w:lang w:val="bs-Latn-BA" w:eastAsia="sl-SI"/>
              </w:rPr>
            </w:pPr>
            <w:r w:rsidRPr="00373F67">
              <w:rPr>
                <w:rFonts w:cs="Calibri"/>
                <w:color w:val="000000"/>
                <w:sz w:val="18"/>
                <w:lang w:val="bs-Latn-BA"/>
              </w:rPr>
              <w:t>3,79</w:t>
            </w:r>
          </w:p>
        </w:tc>
        <w:tc>
          <w:tcPr>
            <w:tcW w:w="1464" w:type="dxa"/>
            <w:tcBorders>
              <w:top w:val="single" w:sz="4" w:space="0" w:color="A6A6A6" w:themeColor="background1" w:themeShade="A6"/>
              <w:left w:val="nil"/>
              <w:bottom w:val="single" w:sz="4" w:space="0" w:color="A6A6A6" w:themeColor="background1" w:themeShade="A6"/>
              <w:right w:val="single" w:sz="4" w:space="0" w:color="DBDBDB" w:themeColor="accent3" w:themeTint="66"/>
            </w:tcBorders>
            <w:noWrap/>
            <w:vAlign w:val="bottom"/>
          </w:tcPr>
          <w:p w:rsidR="00A6124E" w:rsidRPr="00373F67" w:rsidRDefault="00A6124E" w:rsidP="005E3980">
            <w:pPr>
              <w:jc w:val="center"/>
              <w:cnfStyle w:val="000000100000"/>
              <w:rPr>
                <w:rFonts w:eastAsia="Times New Roman" w:cs="Arial"/>
                <w:color w:val="000000"/>
                <w:sz w:val="18"/>
                <w:lang w:val="bs-Latn-BA" w:eastAsia="sl-SI"/>
              </w:rPr>
            </w:pPr>
            <w:r w:rsidRPr="00373F67">
              <w:rPr>
                <w:rFonts w:cs="Calibri"/>
                <w:color w:val="000000"/>
                <w:sz w:val="18"/>
                <w:lang w:val="bs-Latn-BA"/>
              </w:rPr>
              <w:t>5,28</w:t>
            </w:r>
          </w:p>
        </w:tc>
        <w:tc>
          <w:tcPr>
            <w:tcW w:w="1300" w:type="dxa"/>
            <w:tcBorders>
              <w:top w:val="single" w:sz="4" w:space="0" w:color="A6A6A6" w:themeColor="background1" w:themeShade="A6"/>
              <w:left w:val="single" w:sz="4" w:space="0" w:color="DBDBDB" w:themeColor="accent3" w:themeTint="66"/>
              <w:bottom w:val="single" w:sz="4" w:space="0" w:color="A6A6A6" w:themeColor="background1" w:themeShade="A6"/>
              <w:right w:val="single" w:sz="4" w:space="0" w:color="DBDBDB" w:themeColor="accent3" w:themeTint="66"/>
            </w:tcBorders>
            <w:noWrap/>
            <w:vAlign w:val="bottom"/>
          </w:tcPr>
          <w:p w:rsidR="00A6124E" w:rsidRPr="00373F67" w:rsidRDefault="00A6124E" w:rsidP="005E3980">
            <w:pPr>
              <w:jc w:val="center"/>
              <w:cnfStyle w:val="000000100000"/>
              <w:rPr>
                <w:rFonts w:eastAsia="Times New Roman" w:cs="Arial"/>
                <w:color w:val="000000"/>
                <w:sz w:val="18"/>
                <w:lang w:val="bs-Latn-BA" w:eastAsia="sl-SI"/>
              </w:rPr>
            </w:pPr>
            <w:r w:rsidRPr="00373F67">
              <w:rPr>
                <w:rFonts w:cs="Calibri"/>
                <w:color w:val="000000"/>
                <w:sz w:val="18"/>
                <w:lang w:val="bs-Latn-BA"/>
              </w:rPr>
              <w:t>6,29</w:t>
            </w:r>
          </w:p>
        </w:tc>
        <w:tc>
          <w:tcPr>
            <w:tcW w:w="1470" w:type="dxa"/>
            <w:tcBorders>
              <w:top w:val="single" w:sz="4" w:space="0" w:color="A6A6A6" w:themeColor="background1" w:themeShade="A6"/>
              <w:left w:val="single" w:sz="4" w:space="0" w:color="DBDBDB" w:themeColor="accent3" w:themeTint="66"/>
              <w:bottom w:val="single" w:sz="4" w:space="0" w:color="A6A6A6" w:themeColor="background1" w:themeShade="A6"/>
              <w:right w:val="nil"/>
            </w:tcBorders>
            <w:noWrap/>
            <w:vAlign w:val="bottom"/>
          </w:tcPr>
          <w:p w:rsidR="00A6124E" w:rsidRPr="00373F67" w:rsidRDefault="00A6124E" w:rsidP="005E3980">
            <w:pPr>
              <w:jc w:val="center"/>
              <w:cnfStyle w:val="000000100000"/>
              <w:rPr>
                <w:rFonts w:eastAsia="Times New Roman" w:cs="Arial"/>
                <w:color w:val="000000"/>
                <w:sz w:val="18"/>
                <w:lang w:val="bs-Latn-BA" w:eastAsia="sl-SI"/>
              </w:rPr>
            </w:pPr>
            <w:r w:rsidRPr="00373F67">
              <w:rPr>
                <w:rFonts w:cs="Calibri"/>
                <w:color w:val="000000"/>
                <w:sz w:val="18"/>
                <w:lang w:val="bs-Latn-BA"/>
              </w:rPr>
              <w:t>6,64</w:t>
            </w:r>
          </w:p>
        </w:tc>
      </w:tr>
      <w:tr w:rsidR="00A6124E" w:rsidRPr="00373F67" w:rsidTr="00FC2D96">
        <w:trPr>
          <w:trHeight w:val="232"/>
        </w:trPr>
        <w:tc>
          <w:tcPr>
            <w:cnfStyle w:val="001000000000"/>
            <w:tcW w:w="1723" w:type="dxa"/>
            <w:tcBorders>
              <w:right w:val="nil"/>
            </w:tcBorders>
            <w:noWrap/>
          </w:tcPr>
          <w:p w:rsidR="00A6124E" w:rsidRPr="00767812" w:rsidRDefault="00A6124E" w:rsidP="005E3980">
            <w:pPr>
              <w:rPr>
                <w:rFonts w:eastAsia="Times New Roman" w:cs="Arial"/>
                <w:b w:val="0"/>
                <w:bCs w:val="0"/>
                <w:color w:val="000000"/>
                <w:sz w:val="18"/>
                <w:lang w:val="bs-Latn-BA" w:eastAsia="sl-SI"/>
              </w:rPr>
            </w:pPr>
            <w:r w:rsidRPr="00767812">
              <w:rPr>
                <w:rFonts w:eastAsia="Times New Roman" w:cs="Arial"/>
                <w:b w:val="0"/>
                <w:bCs w:val="0"/>
                <w:color w:val="000000"/>
                <w:sz w:val="18"/>
                <w:lang w:val="bs-Latn-BA" w:eastAsia="sl-SI"/>
              </w:rPr>
              <w:t>Središnji region</w:t>
            </w:r>
          </w:p>
        </w:tc>
        <w:tc>
          <w:tcPr>
            <w:tcW w:w="1687" w:type="dxa"/>
            <w:tcBorders>
              <w:top w:val="single" w:sz="4" w:space="0" w:color="A6A6A6" w:themeColor="background1" w:themeShade="A6"/>
              <w:left w:val="nil"/>
              <w:bottom w:val="single" w:sz="4" w:space="0" w:color="A6A6A6" w:themeColor="background1" w:themeShade="A6"/>
              <w:right w:val="nil"/>
            </w:tcBorders>
            <w:noWrap/>
            <w:vAlign w:val="bottom"/>
          </w:tcPr>
          <w:p w:rsidR="00A6124E" w:rsidRPr="00373F67" w:rsidRDefault="00A6124E" w:rsidP="005E3980">
            <w:pPr>
              <w:jc w:val="center"/>
              <w:cnfStyle w:val="000000000000"/>
              <w:rPr>
                <w:rFonts w:eastAsia="Times New Roman" w:cs="Arial"/>
                <w:color w:val="000000"/>
                <w:sz w:val="18"/>
                <w:lang w:val="bs-Latn-BA" w:eastAsia="sl-SI"/>
              </w:rPr>
            </w:pPr>
            <w:r w:rsidRPr="00373F67">
              <w:rPr>
                <w:rFonts w:cs="Calibri"/>
                <w:iCs/>
                <w:color w:val="000000"/>
                <w:sz w:val="18"/>
                <w:lang w:val="bs-Latn-BA"/>
              </w:rPr>
              <w:t>3,23</w:t>
            </w:r>
          </w:p>
        </w:tc>
        <w:tc>
          <w:tcPr>
            <w:tcW w:w="1464" w:type="dxa"/>
            <w:tcBorders>
              <w:top w:val="single" w:sz="4" w:space="0" w:color="A6A6A6" w:themeColor="background1" w:themeShade="A6"/>
              <w:left w:val="nil"/>
              <w:bottom w:val="single" w:sz="4" w:space="0" w:color="A6A6A6" w:themeColor="background1" w:themeShade="A6"/>
              <w:right w:val="single" w:sz="4" w:space="0" w:color="DBDBDB" w:themeColor="accent3" w:themeTint="66"/>
            </w:tcBorders>
            <w:noWrap/>
            <w:vAlign w:val="bottom"/>
          </w:tcPr>
          <w:p w:rsidR="00A6124E" w:rsidRPr="00373F67" w:rsidRDefault="00A6124E" w:rsidP="005E3980">
            <w:pPr>
              <w:jc w:val="center"/>
              <w:cnfStyle w:val="000000000000"/>
              <w:rPr>
                <w:rFonts w:eastAsia="Times New Roman" w:cs="Arial"/>
                <w:color w:val="000000"/>
                <w:sz w:val="18"/>
                <w:lang w:val="bs-Latn-BA" w:eastAsia="sl-SI"/>
              </w:rPr>
            </w:pPr>
            <w:r w:rsidRPr="00373F67">
              <w:rPr>
                <w:rFonts w:cs="Calibri"/>
                <w:iCs/>
                <w:color w:val="000000"/>
                <w:sz w:val="18"/>
                <w:lang w:val="bs-Latn-BA"/>
              </w:rPr>
              <w:t>4,42</w:t>
            </w:r>
          </w:p>
        </w:tc>
        <w:tc>
          <w:tcPr>
            <w:tcW w:w="1300" w:type="dxa"/>
            <w:tcBorders>
              <w:top w:val="single" w:sz="4" w:space="0" w:color="A6A6A6" w:themeColor="background1" w:themeShade="A6"/>
              <w:left w:val="single" w:sz="4" w:space="0" w:color="DBDBDB" w:themeColor="accent3" w:themeTint="66"/>
              <w:bottom w:val="single" w:sz="4" w:space="0" w:color="A6A6A6" w:themeColor="background1" w:themeShade="A6"/>
              <w:right w:val="single" w:sz="4" w:space="0" w:color="DBDBDB" w:themeColor="accent3" w:themeTint="66"/>
            </w:tcBorders>
            <w:noWrap/>
            <w:vAlign w:val="bottom"/>
          </w:tcPr>
          <w:p w:rsidR="00A6124E" w:rsidRPr="00373F67" w:rsidRDefault="00A6124E" w:rsidP="005E3980">
            <w:pPr>
              <w:jc w:val="center"/>
              <w:cnfStyle w:val="000000000000"/>
              <w:rPr>
                <w:rFonts w:eastAsia="Times New Roman" w:cs="Arial"/>
                <w:color w:val="000000"/>
                <w:sz w:val="18"/>
                <w:lang w:val="bs-Latn-BA" w:eastAsia="sl-SI"/>
              </w:rPr>
            </w:pPr>
            <w:r w:rsidRPr="00373F67">
              <w:rPr>
                <w:rFonts w:cs="Calibri"/>
                <w:iCs/>
                <w:color w:val="000000"/>
                <w:sz w:val="18"/>
                <w:lang w:val="bs-Latn-BA"/>
              </w:rPr>
              <w:t>5,24</w:t>
            </w:r>
          </w:p>
        </w:tc>
        <w:tc>
          <w:tcPr>
            <w:tcW w:w="1470" w:type="dxa"/>
            <w:tcBorders>
              <w:top w:val="single" w:sz="4" w:space="0" w:color="A6A6A6" w:themeColor="background1" w:themeShade="A6"/>
              <w:left w:val="single" w:sz="4" w:space="0" w:color="DBDBDB" w:themeColor="accent3" w:themeTint="66"/>
              <w:bottom w:val="single" w:sz="4" w:space="0" w:color="A6A6A6" w:themeColor="background1" w:themeShade="A6"/>
              <w:right w:val="nil"/>
            </w:tcBorders>
            <w:noWrap/>
            <w:vAlign w:val="bottom"/>
          </w:tcPr>
          <w:p w:rsidR="00A6124E" w:rsidRPr="00373F67" w:rsidRDefault="00A6124E" w:rsidP="005E3980">
            <w:pPr>
              <w:jc w:val="center"/>
              <w:cnfStyle w:val="000000000000"/>
              <w:rPr>
                <w:rFonts w:eastAsia="Times New Roman" w:cs="Arial"/>
                <w:color w:val="000000"/>
                <w:sz w:val="18"/>
                <w:lang w:val="bs-Latn-BA" w:eastAsia="sl-SI"/>
              </w:rPr>
            </w:pPr>
            <w:r w:rsidRPr="00373F67">
              <w:rPr>
                <w:rFonts w:cs="Calibri"/>
                <w:iCs/>
                <w:color w:val="000000"/>
                <w:sz w:val="18"/>
                <w:lang w:val="bs-Latn-BA"/>
              </w:rPr>
              <w:t>5,20</w:t>
            </w:r>
          </w:p>
        </w:tc>
      </w:tr>
      <w:tr w:rsidR="00A6124E" w:rsidRPr="00373F67" w:rsidTr="00FC2D96">
        <w:trPr>
          <w:cnfStyle w:val="000000100000"/>
          <w:trHeight w:val="232"/>
        </w:trPr>
        <w:tc>
          <w:tcPr>
            <w:cnfStyle w:val="001000000000"/>
            <w:tcW w:w="1723" w:type="dxa"/>
            <w:tcBorders>
              <w:top w:val="none" w:sz="0" w:space="0" w:color="auto"/>
              <w:bottom w:val="single" w:sz="4" w:space="0" w:color="A6A6A6" w:themeColor="background1" w:themeShade="A6"/>
              <w:right w:val="nil"/>
            </w:tcBorders>
            <w:noWrap/>
            <w:hideMark/>
          </w:tcPr>
          <w:p w:rsidR="00A6124E" w:rsidRPr="00767812" w:rsidRDefault="00A6124E" w:rsidP="005E3980">
            <w:pPr>
              <w:rPr>
                <w:rFonts w:eastAsia="Times New Roman" w:cs="Arial"/>
                <w:b w:val="0"/>
                <w:bCs w:val="0"/>
                <w:color w:val="000000"/>
                <w:sz w:val="18"/>
                <w:lang w:val="bs-Latn-BA" w:eastAsia="sl-SI"/>
              </w:rPr>
            </w:pPr>
            <w:r w:rsidRPr="00767812">
              <w:rPr>
                <w:rFonts w:eastAsia="Times New Roman" w:cs="Arial"/>
                <w:b w:val="0"/>
                <w:bCs w:val="0"/>
                <w:color w:val="000000"/>
                <w:sz w:val="18"/>
                <w:lang w:val="bs-Latn-BA" w:eastAsia="sl-SI"/>
              </w:rPr>
              <w:t xml:space="preserve">Crna Gora </w:t>
            </w:r>
          </w:p>
        </w:tc>
        <w:tc>
          <w:tcPr>
            <w:tcW w:w="1687" w:type="dxa"/>
            <w:tcBorders>
              <w:top w:val="single" w:sz="4" w:space="0" w:color="A6A6A6" w:themeColor="background1" w:themeShade="A6"/>
              <w:left w:val="nil"/>
              <w:bottom w:val="single" w:sz="4" w:space="0" w:color="A6A6A6" w:themeColor="background1" w:themeShade="A6"/>
              <w:right w:val="nil"/>
            </w:tcBorders>
            <w:noWrap/>
            <w:hideMark/>
          </w:tcPr>
          <w:p w:rsidR="00A6124E" w:rsidRPr="00373F67" w:rsidRDefault="00A6124E" w:rsidP="005E3980">
            <w:pPr>
              <w:jc w:val="center"/>
              <w:cnfStyle w:val="000000100000"/>
              <w:rPr>
                <w:rFonts w:eastAsia="Times New Roman" w:cs="Arial"/>
                <w:color w:val="000000"/>
                <w:sz w:val="18"/>
                <w:lang w:val="bs-Latn-BA" w:eastAsia="sl-SI"/>
              </w:rPr>
            </w:pPr>
            <w:r w:rsidRPr="00373F67">
              <w:rPr>
                <w:rFonts w:eastAsia="Times New Roman" w:cs="Arial"/>
                <w:color w:val="000000"/>
                <w:sz w:val="18"/>
                <w:lang w:val="bs-Latn-BA" w:eastAsia="sl-SI"/>
              </w:rPr>
              <w:t>3,41</w:t>
            </w:r>
          </w:p>
        </w:tc>
        <w:tc>
          <w:tcPr>
            <w:tcW w:w="1464" w:type="dxa"/>
            <w:tcBorders>
              <w:top w:val="single" w:sz="4" w:space="0" w:color="A6A6A6" w:themeColor="background1" w:themeShade="A6"/>
              <w:left w:val="nil"/>
              <w:bottom w:val="single" w:sz="4" w:space="0" w:color="A6A6A6" w:themeColor="background1" w:themeShade="A6"/>
              <w:right w:val="single" w:sz="4" w:space="0" w:color="DBDBDB" w:themeColor="accent3" w:themeTint="66"/>
            </w:tcBorders>
            <w:noWrap/>
            <w:hideMark/>
          </w:tcPr>
          <w:p w:rsidR="00A6124E" w:rsidRPr="00373F67" w:rsidRDefault="00A6124E" w:rsidP="005E3980">
            <w:pPr>
              <w:jc w:val="center"/>
              <w:cnfStyle w:val="000000100000"/>
              <w:rPr>
                <w:rFonts w:eastAsia="Times New Roman" w:cs="Arial"/>
                <w:color w:val="000000"/>
                <w:sz w:val="18"/>
                <w:lang w:val="bs-Latn-BA" w:eastAsia="sl-SI"/>
              </w:rPr>
            </w:pPr>
            <w:r w:rsidRPr="00373F67">
              <w:rPr>
                <w:rFonts w:eastAsia="Times New Roman" w:cs="Arial"/>
                <w:color w:val="000000"/>
                <w:sz w:val="18"/>
                <w:lang w:val="bs-Latn-BA" w:eastAsia="sl-SI"/>
              </w:rPr>
              <w:t>4,54</w:t>
            </w:r>
          </w:p>
        </w:tc>
        <w:tc>
          <w:tcPr>
            <w:tcW w:w="1300" w:type="dxa"/>
            <w:tcBorders>
              <w:top w:val="single" w:sz="4" w:space="0" w:color="A6A6A6" w:themeColor="background1" w:themeShade="A6"/>
              <w:left w:val="single" w:sz="4" w:space="0" w:color="DBDBDB" w:themeColor="accent3" w:themeTint="66"/>
              <w:bottom w:val="single" w:sz="4" w:space="0" w:color="A6A6A6" w:themeColor="background1" w:themeShade="A6"/>
              <w:right w:val="single" w:sz="4" w:space="0" w:color="DBDBDB" w:themeColor="accent3" w:themeTint="66"/>
            </w:tcBorders>
            <w:noWrap/>
            <w:hideMark/>
          </w:tcPr>
          <w:p w:rsidR="00A6124E" w:rsidRPr="00373F67" w:rsidRDefault="00A6124E" w:rsidP="005E3980">
            <w:pPr>
              <w:jc w:val="center"/>
              <w:cnfStyle w:val="000000100000"/>
              <w:rPr>
                <w:rFonts w:eastAsia="Times New Roman" w:cs="Arial"/>
                <w:color w:val="000000"/>
                <w:sz w:val="18"/>
                <w:lang w:val="bs-Latn-BA" w:eastAsia="sl-SI"/>
              </w:rPr>
            </w:pPr>
            <w:r w:rsidRPr="00373F67">
              <w:rPr>
                <w:rFonts w:eastAsia="Times New Roman" w:cs="Arial"/>
                <w:color w:val="000000"/>
                <w:sz w:val="18"/>
                <w:lang w:val="bs-Latn-BA" w:eastAsia="sl-SI"/>
              </w:rPr>
              <w:t>5,43</w:t>
            </w:r>
          </w:p>
        </w:tc>
        <w:tc>
          <w:tcPr>
            <w:tcW w:w="1470" w:type="dxa"/>
            <w:tcBorders>
              <w:top w:val="single" w:sz="4" w:space="0" w:color="A6A6A6" w:themeColor="background1" w:themeShade="A6"/>
              <w:left w:val="single" w:sz="4" w:space="0" w:color="DBDBDB" w:themeColor="accent3" w:themeTint="66"/>
              <w:bottom w:val="single" w:sz="4" w:space="0" w:color="A6A6A6" w:themeColor="background1" w:themeShade="A6"/>
              <w:right w:val="nil"/>
            </w:tcBorders>
            <w:noWrap/>
            <w:hideMark/>
          </w:tcPr>
          <w:p w:rsidR="00A6124E" w:rsidRPr="00373F67" w:rsidRDefault="00A6124E" w:rsidP="005E3980">
            <w:pPr>
              <w:jc w:val="center"/>
              <w:cnfStyle w:val="000000100000"/>
              <w:rPr>
                <w:rFonts w:eastAsia="Times New Roman" w:cs="Arial"/>
                <w:color w:val="000000"/>
                <w:sz w:val="18"/>
                <w:lang w:val="bs-Latn-BA" w:eastAsia="sl-SI"/>
              </w:rPr>
            </w:pPr>
            <w:r w:rsidRPr="00373F67">
              <w:rPr>
                <w:rFonts w:eastAsia="Times New Roman" w:cs="Arial"/>
                <w:color w:val="000000"/>
                <w:sz w:val="18"/>
                <w:lang w:val="bs-Latn-BA" w:eastAsia="sl-SI"/>
              </w:rPr>
              <w:t>5,58</w:t>
            </w:r>
          </w:p>
        </w:tc>
      </w:tr>
    </w:tbl>
    <w:p w:rsidR="00A6124E" w:rsidRPr="00373F67" w:rsidRDefault="00A6124E" w:rsidP="005E3980">
      <w:pPr>
        <w:jc w:val="both"/>
        <w:rPr>
          <w:rFonts w:cs="Arial"/>
          <w:color w:val="000000" w:themeColor="text1"/>
          <w:sz w:val="18"/>
          <w:lang w:val="bs-Latn-BA"/>
        </w:rPr>
      </w:pPr>
    </w:p>
    <w:p w:rsidR="00A6124E" w:rsidRPr="00373F67" w:rsidRDefault="00A6124E" w:rsidP="005E3980">
      <w:pPr>
        <w:jc w:val="both"/>
        <w:rPr>
          <w:rFonts w:cs="Arial"/>
          <w:color w:val="000000" w:themeColor="text1"/>
          <w:sz w:val="18"/>
          <w:lang w:val="bs-Latn-BA"/>
        </w:rPr>
      </w:pPr>
    </w:p>
    <w:p w:rsidR="00A6124E" w:rsidRPr="00373F67" w:rsidRDefault="00A6124E" w:rsidP="005E3980">
      <w:pPr>
        <w:jc w:val="both"/>
        <w:rPr>
          <w:rFonts w:cs="Arial"/>
          <w:color w:val="000000" w:themeColor="text1"/>
          <w:sz w:val="18"/>
          <w:lang w:val="bs-Latn-BA"/>
        </w:rPr>
      </w:pPr>
    </w:p>
    <w:p w:rsidR="00A6124E" w:rsidRPr="00373F67" w:rsidRDefault="00A6124E" w:rsidP="005E3980">
      <w:pPr>
        <w:jc w:val="both"/>
        <w:rPr>
          <w:rFonts w:cs="Arial"/>
          <w:color w:val="000000" w:themeColor="text1"/>
          <w:sz w:val="18"/>
          <w:lang w:val="bs-Latn-BA"/>
        </w:rPr>
      </w:pPr>
    </w:p>
    <w:p w:rsidR="00A6124E" w:rsidRPr="00373F67" w:rsidRDefault="00A6124E" w:rsidP="005E3980">
      <w:pPr>
        <w:jc w:val="both"/>
        <w:rPr>
          <w:rFonts w:cs="Arial"/>
          <w:color w:val="000000" w:themeColor="text1"/>
          <w:sz w:val="18"/>
          <w:lang w:val="bs-Latn-BA"/>
        </w:rPr>
      </w:pPr>
    </w:p>
    <w:p w:rsidR="00A6124E" w:rsidRPr="00373F67" w:rsidRDefault="00A6124E" w:rsidP="005E3980">
      <w:pPr>
        <w:jc w:val="both"/>
        <w:rPr>
          <w:rFonts w:cs="Arial"/>
          <w:color w:val="000000" w:themeColor="text1"/>
          <w:sz w:val="18"/>
          <w:lang w:val="bs-Latn-BA"/>
        </w:rPr>
      </w:pPr>
    </w:p>
    <w:p w:rsidR="00A6124E" w:rsidRPr="00373F67" w:rsidRDefault="00A6124E" w:rsidP="005E3980">
      <w:pPr>
        <w:jc w:val="both"/>
        <w:rPr>
          <w:rFonts w:cs="Arial"/>
          <w:color w:val="000000" w:themeColor="text1"/>
          <w:sz w:val="18"/>
          <w:lang w:val="bs-Latn-BA"/>
        </w:rPr>
      </w:pPr>
    </w:p>
    <w:p w:rsidR="00A6124E" w:rsidRPr="00373F67" w:rsidRDefault="00A6124E" w:rsidP="005E3980">
      <w:pPr>
        <w:jc w:val="both"/>
        <w:rPr>
          <w:rFonts w:cs="Arial"/>
          <w:color w:val="000000" w:themeColor="text1"/>
          <w:sz w:val="18"/>
          <w:lang w:val="bs-Latn-BA"/>
        </w:rPr>
      </w:pPr>
    </w:p>
    <w:p w:rsidR="005E3980" w:rsidRDefault="005E3980" w:rsidP="005E3980">
      <w:pPr>
        <w:tabs>
          <w:tab w:val="left" w:pos="1567"/>
        </w:tabs>
        <w:ind w:left="6372"/>
        <w:rPr>
          <w:i/>
          <w:iCs/>
          <w:noProof/>
          <w:sz w:val="18"/>
          <w:lang w:val="bs-Latn-BA"/>
        </w:rPr>
      </w:pPr>
    </w:p>
    <w:p w:rsidR="00A6124E" w:rsidRPr="00373F67" w:rsidRDefault="00A6124E" w:rsidP="00F24DAB">
      <w:pPr>
        <w:tabs>
          <w:tab w:val="left" w:pos="1567"/>
        </w:tabs>
        <w:ind w:left="5664"/>
        <w:rPr>
          <w:i/>
          <w:iCs/>
          <w:noProof/>
          <w:sz w:val="18"/>
          <w:lang w:val="bs-Latn-BA"/>
        </w:rPr>
      </w:pPr>
      <w:r w:rsidRPr="00373F67">
        <w:rPr>
          <w:i/>
          <w:iCs/>
          <w:noProof/>
          <w:sz w:val="18"/>
          <w:lang w:val="bs-Latn-BA"/>
        </w:rPr>
        <w:t>Izvor: MONSTAT, kalkulacije autora</w:t>
      </w:r>
    </w:p>
    <w:p w:rsidR="00A6124E" w:rsidRPr="00373F67" w:rsidRDefault="00A6124E" w:rsidP="005E3980">
      <w:pPr>
        <w:jc w:val="both"/>
        <w:rPr>
          <w:rFonts w:cs="Arial"/>
          <w:color w:val="000000" w:themeColor="text1"/>
          <w:sz w:val="22"/>
          <w:szCs w:val="22"/>
        </w:rPr>
      </w:pPr>
      <w:r w:rsidRPr="00373F67">
        <w:rPr>
          <w:rFonts w:cs="Arial"/>
          <w:color w:val="000000" w:themeColor="text1"/>
          <w:sz w:val="22"/>
          <w:szCs w:val="22"/>
        </w:rPr>
        <w:lastRenderedPageBreak/>
        <w:t>Glavni grad Podgorica registruje značajno veći broj aktivnih poslovnih subjekata po glavi stanovnika u odnosu na Središnji region, ali i u odnosu na Crnu Goru. Prema podacima iz 2019. godine, pomenuti indikator je za Glavni grad iznosio 6,64 dok je za Središnji region i Crnu Goru iznosio 5,20 i 5,58, respektivno. Takođe, Podgorica bilježi značajan rast indikatora u odnosu na 2011. godinu kada je iznosio svega 3,79, ali je i tada bio iznad prosjeka na nivou Crne Gore i Središn</w:t>
      </w:r>
      <w:r w:rsidR="006A18D1">
        <w:rPr>
          <w:rFonts w:cs="Arial"/>
          <w:color w:val="000000" w:themeColor="text1"/>
          <w:sz w:val="22"/>
          <w:szCs w:val="22"/>
        </w:rPr>
        <w:t>j</w:t>
      </w:r>
      <w:r w:rsidRPr="00373F67">
        <w:rPr>
          <w:rFonts w:cs="Arial"/>
          <w:color w:val="000000" w:themeColor="text1"/>
          <w:sz w:val="22"/>
          <w:szCs w:val="22"/>
        </w:rPr>
        <w:t xml:space="preserve">eg regiona. </w:t>
      </w:r>
    </w:p>
    <w:p w:rsidR="00A6124E" w:rsidRDefault="00A6124E" w:rsidP="005E3980">
      <w:pPr>
        <w:jc w:val="both"/>
        <w:rPr>
          <w:rFonts w:cs="Arial"/>
          <w:color w:val="000000" w:themeColor="text1"/>
          <w:sz w:val="22"/>
          <w:szCs w:val="22"/>
          <w:lang w:val="bs-Latn-BA"/>
        </w:rPr>
      </w:pPr>
    </w:p>
    <w:p w:rsidR="00B060E8" w:rsidRPr="00373F67" w:rsidRDefault="00B060E8" w:rsidP="00B060E8">
      <w:pPr>
        <w:jc w:val="both"/>
        <w:rPr>
          <w:rFonts w:eastAsia="Times New Roman" w:cs="Arial"/>
          <w:color w:val="000000"/>
          <w:szCs w:val="20"/>
          <w:lang w:val="bs-Latn-BA" w:eastAsia="sl-SI"/>
        </w:rPr>
      </w:pPr>
      <w:r w:rsidRPr="00373F67">
        <w:rPr>
          <w:rFonts w:cs="Arial"/>
          <w:color w:val="000000" w:themeColor="text1"/>
          <w:szCs w:val="20"/>
          <w:lang w:val="bs-Latn-BA"/>
        </w:rPr>
        <w:t xml:space="preserve">Tabela </w:t>
      </w:r>
      <w:r>
        <w:rPr>
          <w:rFonts w:cs="Arial"/>
          <w:color w:val="000000" w:themeColor="text1"/>
          <w:szCs w:val="20"/>
          <w:lang w:val="bs-Latn-BA"/>
        </w:rPr>
        <w:t>6</w:t>
      </w:r>
      <w:r w:rsidRPr="00373F67">
        <w:rPr>
          <w:rFonts w:cs="Arial"/>
          <w:color w:val="000000" w:themeColor="text1"/>
          <w:szCs w:val="20"/>
          <w:lang w:val="bs-Latn-BA"/>
        </w:rPr>
        <w:t xml:space="preserve">: </w:t>
      </w:r>
      <w:r w:rsidRPr="00373F67">
        <w:rPr>
          <w:rFonts w:eastAsia="Times New Roman" w:cs="Arial"/>
          <w:color w:val="000000"/>
          <w:szCs w:val="20"/>
          <w:lang w:val="bs-Latn-BA" w:eastAsia="sl-SI"/>
        </w:rPr>
        <w:t xml:space="preserve">Broj </w:t>
      </w:r>
      <w:r w:rsidR="00CD262E">
        <w:rPr>
          <w:rFonts w:eastAsia="Times New Roman" w:cs="Arial"/>
          <w:color w:val="000000"/>
          <w:szCs w:val="20"/>
          <w:lang w:val="bs-Latn-BA" w:eastAsia="sl-SI"/>
        </w:rPr>
        <w:t>privrednih</w:t>
      </w:r>
      <w:r w:rsidRPr="00373F67">
        <w:rPr>
          <w:rFonts w:eastAsia="Times New Roman" w:cs="Arial"/>
          <w:color w:val="000000"/>
          <w:szCs w:val="20"/>
          <w:lang w:val="bs-Latn-BA" w:eastAsia="sl-SI"/>
        </w:rPr>
        <w:t xml:space="preserve"> subjekata iz Podgorice koji su predali finansijski izvještaj u 2018</w:t>
      </w:r>
      <w:r>
        <w:rPr>
          <w:rFonts w:eastAsia="Times New Roman" w:cs="Arial"/>
          <w:color w:val="000000"/>
          <w:szCs w:val="20"/>
          <w:lang w:val="bs-Latn-BA" w:eastAsia="sl-SI"/>
        </w:rPr>
        <w:t>.</w:t>
      </w:r>
      <w:r w:rsidRPr="00373F67">
        <w:rPr>
          <w:rFonts w:eastAsia="Times New Roman" w:cs="Arial"/>
          <w:color w:val="000000"/>
          <w:szCs w:val="20"/>
          <w:lang w:val="bs-Latn-BA" w:eastAsia="sl-SI"/>
        </w:rPr>
        <w:t xml:space="preserve"> i 2019</w:t>
      </w:r>
      <w:r>
        <w:rPr>
          <w:rFonts w:eastAsia="Times New Roman" w:cs="Arial"/>
          <w:color w:val="000000"/>
          <w:szCs w:val="20"/>
          <w:lang w:val="bs-Latn-BA" w:eastAsia="sl-SI"/>
        </w:rPr>
        <w:t>.</w:t>
      </w:r>
    </w:p>
    <w:p w:rsidR="00B060E8" w:rsidRPr="00373F67" w:rsidRDefault="00B060E8" w:rsidP="00B060E8">
      <w:pPr>
        <w:jc w:val="both"/>
        <w:rPr>
          <w:rFonts w:eastAsia="Times New Roman" w:cs="Arial"/>
          <w:color w:val="000000"/>
          <w:szCs w:val="20"/>
          <w:lang w:val="bs-Latn-BA" w:eastAsia="sl-SI"/>
        </w:rPr>
      </w:pPr>
    </w:p>
    <w:tbl>
      <w:tblPr>
        <w:tblW w:w="479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tblPr>
      <w:tblGrid>
        <w:gridCol w:w="7197"/>
        <w:gridCol w:w="930"/>
        <w:gridCol w:w="933"/>
      </w:tblGrid>
      <w:tr w:rsidR="00B060E8" w:rsidRPr="00373F67" w:rsidTr="00A6791E">
        <w:trPr>
          <w:trHeight w:val="253"/>
        </w:trPr>
        <w:tc>
          <w:tcPr>
            <w:tcW w:w="3972" w:type="pct"/>
            <w:shd w:val="clear" w:color="auto" w:fill="FFD966" w:themeFill="accent4" w:themeFillTint="99"/>
            <w:noWrap/>
            <w:vAlign w:val="center"/>
            <w:hideMark/>
          </w:tcPr>
          <w:p w:rsidR="00B060E8" w:rsidRPr="00767812" w:rsidRDefault="00B060E8" w:rsidP="00FC2D96">
            <w:pPr>
              <w:rPr>
                <w:rFonts w:eastAsia="Times New Roman" w:cs="Calibri"/>
                <w:color w:val="000000"/>
                <w:sz w:val="18"/>
                <w:lang w:val="bs-Latn-BA"/>
              </w:rPr>
            </w:pPr>
            <w:r w:rsidRPr="00767812">
              <w:rPr>
                <w:rFonts w:eastAsia="Times New Roman" w:cs="Calibri"/>
                <w:color w:val="000000"/>
                <w:sz w:val="18"/>
                <w:lang w:val="bs-Latn-BA"/>
              </w:rPr>
              <w:t> </w:t>
            </w:r>
            <w:r w:rsidR="00CD262E">
              <w:rPr>
                <w:rFonts w:eastAsia="Times New Roman" w:cs="Calibri"/>
                <w:color w:val="000000"/>
                <w:sz w:val="18"/>
                <w:lang w:val="bs-Latn-BA"/>
              </w:rPr>
              <w:t>DJELATNOST</w:t>
            </w:r>
          </w:p>
        </w:tc>
        <w:tc>
          <w:tcPr>
            <w:tcW w:w="513" w:type="pct"/>
            <w:shd w:val="clear" w:color="auto" w:fill="FFD966" w:themeFill="accent4" w:themeFillTint="99"/>
            <w:noWrap/>
            <w:vAlign w:val="center"/>
            <w:hideMark/>
          </w:tcPr>
          <w:p w:rsidR="00B060E8" w:rsidRPr="00767812" w:rsidRDefault="00B060E8" w:rsidP="00FC2D96">
            <w:pPr>
              <w:jc w:val="right"/>
              <w:rPr>
                <w:rFonts w:eastAsia="Times New Roman" w:cs="Calibri"/>
                <w:color w:val="000000"/>
                <w:sz w:val="18"/>
                <w:lang w:val="bs-Latn-BA"/>
              </w:rPr>
            </w:pPr>
            <w:r w:rsidRPr="00767812">
              <w:rPr>
                <w:rFonts w:eastAsia="Times New Roman" w:cs="Calibri"/>
                <w:color w:val="000000"/>
                <w:sz w:val="18"/>
                <w:lang w:val="bs-Latn-BA"/>
              </w:rPr>
              <w:t>2018</w:t>
            </w:r>
            <w:r w:rsidR="00CD262E">
              <w:rPr>
                <w:rFonts w:eastAsia="Times New Roman" w:cs="Calibri"/>
                <w:color w:val="000000"/>
                <w:sz w:val="18"/>
                <w:lang w:val="bs-Latn-BA"/>
              </w:rPr>
              <w:t>.</w:t>
            </w:r>
          </w:p>
        </w:tc>
        <w:tc>
          <w:tcPr>
            <w:tcW w:w="515" w:type="pct"/>
            <w:shd w:val="clear" w:color="auto" w:fill="FFD966" w:themeFill="accent4" w:themeFillTint="99"/>
            <w:noWrap/>
            <w:vAlign w:val="center"/>
            <w:hideMark/>
          </w:tcPr>
          <w:p w:rsidR="00B060E8" w:rsidRPr="00767812" w:rsidRDefault="00B060E8" w:rsidP="00FC2D96">
            <w:pPr>
              <w:jc w:val="right"/>
              <w:rPr>
                <w:rFonts w:eastAsia="Times New Roman" w:cs="Calibri"/>
                <w:color w:val="000000"/>
                <w:sz w:val="18"/>
                <w:lang w:val="bs-Latn-BA"/>
              </w:rPr>
            </w:pPr>
            <w:r w:rsidRPr="00767812">
              <w:rPr>
                <w:rFonts w:eastAsia="Times New Roman" w:cs="Calibri"/>
                <w:color w:val="000000"/>
                <w:sz w:val="18"/>
                <w:lang w:val="bs-Latn-BA"/>
              </w:rPr>
              <w:t>2019</w:t>
            </w:r>
            <w:r w:rsidR="00CD262E">
              <w:rPr>
                <w:rFonts w:eastAsia="Times New Roman" w:cs="Calibri"/>
                <w:color w:val="000000"/>
                <w:sz w:val="18"/>
                <w:lang w:val="bs-Latn-BA"/>
              </w:rPr>
              <w:t>.</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Poljoprivreda, šumarstvo i ribarstvo</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60</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61</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Vađenje ruda i kamena</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20</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24</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Prerađivačka industrija</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523</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515</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Snabdijevanje električnom energijom, gasom, parom i klimatizacija</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37</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38</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Snabdijevanje vodom; upravljanje otpadnim vodama, kontrolisanje</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24</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25</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Građevinarstvo</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809</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868</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Trgovina na veliko i trgovina na malo; popravka motornih vozila i motocikala</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w:t>
            </w:r>
            <w:r w:rsidR="00CD262E">
              <w:rPr>
                <w:rFonts w:eastAsia="Times New Roman" w:cs="Calibri"/>
                <w:color w:val="000000"/>
                <w:sz w:val="18"/>
                <w:lang w:val="bs-Latn-BA"/>
              </w:rPr>
              <w:t>.</w:t>
            </w:r>
            <w:r w:rsidRPr="00373F67">
              <w:rPr>
                <w:rFonts w:eastAsia="Times New Roman" w:cs="Calibri"/>
                <w:color w:val="000000"/>
                <w:sz w:val="18"/>
                <w:lang w:val="bs-Latn-BA"/>
              </w:rPr>
              <w:t>356</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w:t>
            </w:r>
            <w:r w:rsidR="00CD262E">
              <w:rPr>
                <w:rFonts w:eastAsia="Times New Roman" w:cs="Calibri"/>
                <w:color w:val="000000"/>
                <w:sz w:val="18"/>
                <w:lang w:val="bs-Latn-BA"/>
              </w:rPr>
              <w:t>.</w:t>
            </w:r>
            <w:r w:rsidRPr="00373F67">
              <w:rPr>
                <w:rFonts w:eastAsia="Times New Roman" w:cs="Calibri"/>
                <w:color w:val="000000"/>
                <w:sz w:val="18"/>
                <w:lang w:val="bs-Latn-BA"/>
              </w:rPr>
              <w:t>353</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Saobraćaj i skladištenje</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342</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346</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Usluge smještaja i ishrane</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647</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625</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Informisanje i komunikacije</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455</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437</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CD262E" w:rsidP="00FC2D96">
            <w:pPr>
              <w:rPr>
                <w:rFonts w:eastAsia="Times New Roman" w:cs="Calibri"/>
                <w:color w:val="000000"/>
                <w:sz w:val="18"/>
                <w:lang w:val="bs-Latn-BA"/>
              </w:rPr>
            </w:pPr>
            <w:r>
              <w:rPr>
                <w:rFonts w:eastAsia="Times New Roman" w:cs="Calibri"/>
                <w:color w:val="000000"/>
                <w:sz w:val="18"/>
                <w:lang w:val="bs-Latn-BA"/>
              </w:rPr>
              <w:t>F</w:t>
            </w:r>
            <w:r w:rsidR="00B060E8" w:rsidRPr="00373F67">
              <w:rPr>
                <w:rFonts w:eastAsia="Times New Roman" w:cs="Calibri"/>
                <w:color w:val="000000"/>
                <w:sz w:val="18"/>
                <w:lang w:val="bs-Latn-BA"/>
              </w:rPr>
              <w:t xml:space="preserve">inansijske djelatnosti i djelatnost osiguranja </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111</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110</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Poslovanje nekretninama</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238</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293</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Stručne, naučne, inovacione i tehničke djelatnosti</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1</w:t>
            </w:r>
            <w:r w:rsidR="00CD262E">
              <w:rPr>
                <w:rFonts w:eastAsia="Times New Roman" w:cs="Calibri"/>
                <w:color w:val="000000"/>
                <w:sz w:val="18"/>
                <w:lang w:val="bs-Latn-BA"/>
              </w:rPr>
              <w:t>.</w:t>
            </w:r>
            <w:r w:rsidRPr="00373F67">
              <w:rPr>
                <w:rFonts w:eastAsia="Times New Roman" w:cs="Calibri"/>
                <w:color w:val="000000"/>
                <w:sz w:val="18"/>
                <w:lang w:val="bs-Latn-BA"/>
              </w:rPr>
              <w:t>431</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1</w:t>
            </w:r>
            <w:r w:rsidR="00CD262E">
              <w:rPr>
                <w:rFonts w:eastAsia="Times New Roman" w:cs="Calibri"/>
                <w:color w:val="000000"/>
                <w:sz w:val="18"/>
                <w:lang w:val="bs-Latn-BA"/>
              </w:rPr>
              <w:t>.</w:t>
            </w:r>
            <w:r w:rsidRPr="00373F67">
              <w:rPr>
                <w:rFonts w:eastAsia="Times New Roman" w:cs="Calibri"/>
                <w:color w:val="000000"/>
                <w:sz w:val="18"/>
                <w:lang w:val="bs-Latn-BA"/>
              </w:rPr>
              <w:t>598</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Administrativne i pomoćne uslužne djelatnosti</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376</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426</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Obrazovanje</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32</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95</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Zdravstvena i socijalna zaštita</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15</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182</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 xml:space="preserve">Umjetnost; zabava i rekreacija </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117</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119</w:t>
            </w:r>
          </w:p>
        </w:tc>
      </w:tr>
      <w:tr w:rsidR="00B060E8" w:rsidRPr="00373F67" w:rsidTr="00A6791E">
        <w:trPr>
          <w:trHeight w:val="253"/>
        </w:trPr>
        <w:tc>
          <w:tcPr>
            <w:tcW w:w="3972" w:type="pct"/>
            <w:shd w:val="clear" w:color="auto" w:fill="FFFFFF" w:themeFill="background1"/>
            <w:noWrap/>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Ostale uslužne djelatnosti</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270</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299</w:t>
            </w:r>
          </w:p>
        </w:tc>
      </w:tr>
      <w:tr w:rsidR="00B060E8" w:rsidRPr="00373F67" w:rsidTr="00A6791E">
        <w:trPr>
          <w:trHeight w:val="259"/>
        </w:trPr>
        <w:tc>
          <w:tcPr>
            <w:tcW w:w="3972" w:type="pct"/>
            <w:shd w:val="clear" w:color="auto" w:fill="FFFFFF" w:themeFill="background1"/>
            <w:vAlign w:val="center"/>
            <w:hideMark/>
          </w:tcPr>
          <w:p w:rsidR="00B060E8" w:rsidRPr="00373F67" w:rsidRDefault="00B060E8" w:rsidP="00FC2D96">
            <w:pPr>
              <w:rPr>
                <w:rFonts w:eastAsia="Times New Roman" w:cs="Calibri"/>
                <w:color w:val="000000"/>
                <w:sz w:val="18"/>
                <w:lang w:val="bs-Latn-BA"/>
              </w:rPr>
            </w:pPr>
            <w:r w:rsidRPr="00373F67">
              <w:rPr>
                <w:rFonts w:eastAsia="Times New Roman" w:cs="Calibri"/>
                <w:color w:val="000000"/>
                <w:sz w:val="18"/>
                <w:lang w:val="bs-Latn-BA"/>
              </w:rPr>
              <w:t xml:space="preserve">Drž. </w:t>
            </w:r>
            <w:r>
              <w:rPr>
                <w:rFonts w:eastAsia="Times New Roman" w:cs="Calibri"/>
                <w:color w:val="000000"/>
                <w:sz w:val="18"/>
                <w:lang w:val="bs-Latn-BA"/>
              </w:rPr>
              <w:t>u</w:t>
            </w:r>
            <w:r w:rsidRPr="00373F67">
              <w:rPr>
                <w:rFonts w:eastAsia="Times New Roman" w:cs="Calibri"/>
                <w:color w:val="000000"/>
                <w:sz w:val="18"/>
                <w:lang w:val="bs-Latn-BA"/>
              </w:rPr>
              <w:t>prava i odbrana i obavezno soc.osiguranje</w:t>
            </w:r>
          </w:p>
        </w:tc>
        <w:tc>
          <w:tcPr>
            <w:tcW w:w="513"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3</w:t>
            </w:r>
          </w:p>
        </w:tc>
        <w:tc>
          <w:tcPr>
            <w:tcW w:w="515" w:type="pct"/>
            <w:shd w:val="clear" w:color="auto" w:fill="FFFFFF" w:themeFill="background1"/>
            <w:noWrap/>
            <w:vAlign w:val="center"/>
            <w:hideMark/>
          </w:tcPr>
          <w:p w:rsidR="00B060E8" w:rsidRPr="00373F67" w:rsidRDefault="00B060E8" w:rsidP="00FC2D96">
            <w:pPr>
              <w:jc w:val="right"/>
              <w:rPr>
                <w:rFonts w:eastAsia="Times New Roman" w:cs="Calibri"/>
                <w:color w:val="000000"/>
                <w:sz w:val="18"/>
                <w:lang w:val="bs-Latn-BA"/>
              </w:rPr>
            </w:pPr>
            <w:r w:rsidRPr="00373F67">
              <w:rPr>
                <w:rFonts w:eastAsia="Times New Roman" w:cs="Calibri"/>
                <w:color w:val="000000"/>
                <w:sz w:val="18"/>
                <w:lang w:val="bs-Latn-BA"/>
              </w:rPr>
              <w:t>-</w:t>
            </w:r>
          </w:p>
        </w:tc>
      </w:tr>
      <w:tr w:rsidR="00B060E8" w:rsidRPr="00373F67" w:rsidTr="00A6791E">
        <w:trPr>
          <w:trHeight w:val="259"/>
        </w:trPr>
        <w:tc>
          <w:tcPr>
            <w:tcW w:w="3972" w:type="pct"/>
            <w:shd w:val="clear" w:color="auto" w:fill="FFD966" w:themeFill="accent4" w:themeFillTint="99"/>
          </w:tcPr>
          <w:p w:rsidR="00B060E8" w:rsidRPr="00767812" w:rsidRDefault="00B060E8" w:rsidP="00FC2D96">
            <w:pPr>
              <w:rPr>
                <w:rFonts w:eastAsia="Times New Roman" w:cs="Calibri"/>
                <w:bCs/>
                <w:color w:val="000000"/>
                <w:sz w:val="18"/>
                <w:lang w:val="bs-Latn-BA"/>
              </w:rPr>
            </w:pPr>
            <w:r w:rsidRPr="00767812">
              <w:rPr>
                <w:rFonts w:eastAsia="Times New Roman" w:cs="Calibri"/>
                <w:bCs/>
                <w:color w:val="000000"/>
                <w:sz w:val="18"/>
                <w:lang w:val="bs-Latn-BA"/>
              </w:rPr>
              <w:t>UKUPNO</w:t>
            </w:r>
          </w:p>
        </w:tc>
        <w:tc>
          <w:tcPr>
            <w:tcW w:w="513" w:type="pct"/>
            <w:shd w:val="clear" w:color="auto" w:fill="FFD966" w:themeFill="accent4" w:themeFillTint="99"/>
            <w:noWrap/>
          </w:tcPr>
          <w:p w:rsidR="00B060E8" w:rsidRPr="00767812" w:rsidRDefault="00B060E8" w:rsidP="00FC2D96">
            <w:pPr>
              <w:jc w:val="right"/>
              <w:rPr>
                <w:rFonts w:eastAsia="Times New Roman" w:cs="Calibri"/>
                <w:bCs/>
                <w:color w:val="000000"/>
                <w:sz w:val="18"/>
                <w:lang w:val="bs-Latn-BA"/>
              </w:rPr>
            </w:pPr>
            <w:r w:rsidRPr="00767812">
              <w:rPr>
                <w:rFonts w:eastAsia="Times New Roman" w:cs="Calibri"/>
                <w:bCs/>
                <w:color w:val="000000"/>
                <w:sz w:val="18"/>
                <w:lang w:val="bs-Latn-BA"/>
              </w:rPr>
              <w:t>7866</w:t>
            </w:r>
          </w:p>
        </w:tc>
        <w:tc>
          <w:tcPr>
            <w:tcW w:w="515" w:type="pct"/>
            <w:shd w:val="clear" w:color="auto" w:fill="FFD966" w:themeFill="accent4" w:themeFillTint="99"/>
            <w:noWrap/>
          </w:tcPr>
          <w:p w:rsidR="00B060E8" w:rsidRPr="00767812" w:rsidRDefault="00B060E8" w:rsidP="00FC2D96">
            <w:pPr>
              <w:jc w:val="right"/>
              <w:rPr>
                <w:rFonts w:eastAsia="Times New Roman" w:cs="Calibri"/>
                <w:bCs/>
                <w:color w:val="000000"/>
                <w:sz w:val="18"/>
                <w:lang w:val="bs-Latn-BA"/>
              </w:rPr>
            </w:pPr>
            <w:r w:rsidRPr="00767812">
              <w:rPr>
                <w:rFonts w:eastAsia="Times New Roman" w:cs="Calibri"/>
                <w:bCs/>
                <w:color w:val="000000"/>
                <w:sz w:val="18"/>
                <w:lang w:val="bs-Latn-BA"/>
              </w:rPr>
              <w:t>8414</w:t>
            </w:r>
          </w:p>
        </w:tc>
      </w:tr>
    </w:tbl>
    <w:p w:rsidR="00B060E8" w:rsidRPr="00373F67" w:rsidRDefault="009D1B26" w:rsidP="009D1B26">
      <w:pPr>
        <w:ind w:left="3540"/>
        <w:rPr>
          <w:rFonts w:cs="Arial"/>
          <w:i/>
          <w:iCs/>
          <w:color w:val="000000" w:themeColor="text1"/>
          <w:sz w:val="18"/>
          <w:lang w:val="bs-Latn-BA"/>
        </w:rPr>
      </w:pPr>
      <w:r>
        <w:rPr>
          <w:rFonts w:cs="Arial"/>
          <w:i/>
          <w:iCs/>
          <w:color w:val="000000" w:themeColor="text1"/>
          <w:sz w:val="18"/>
          <w:lang w:val="bs-Latn-BA"/>
        </w:rPr>
        <w:t xml:space="preserve">      </w:t>
      </w:r>
      <w:r w:rsidR="00B060E8" w:rsidRPr="00373F67">
        <w:rPr>
          <w:rFonts w:cs="Arial"/>
          <w:i/>
          <w:iCs/>
          <w:color w:val="000000" w:themeColor="text1"/>
          <w:sz w:val="18"/>
          <w:lang w:val="bs-Latn-BA"/>
        </w:rPr>
        <w:t xml:space="preserve">Izvor: </w:t>
      </w:r>
      <w:r w:rsidR="00CD262E">
        <w:rPr>
          <w:rFonts w:cs="Arial"/>
          <w:i/>
          <w:iCs/>
          <w:color w:val="000000" w:themeColor="text1"/>
          <w:sz w:val="18"/>
          <w:lang w:val="bs-Latn-BA"/>
        </w:rPr>
        <w:t>Crnogorska privreda 2019, 2020, Privredna Komora Crne Gore</w:t>
      </w:r>
    </w:p>
    <w:p w:rsidR="00B060E8" w:rsidRDefault="00B060E8" w:rsidP="005E3980">
      <w:pPr>
        <w:jc w:val="both"/>
        <w:rPr>
          <w:rFonts w:cs="Arial"/>
          <w:color w:val="000000" w:themeColor="text1"/>
          <w:sz w:val="22"/>
          <w:szCs w:val="22"/>
          <w:lang w:val="bs-Latn-BA"/>
        </w:rPr>
      </w:pPr>
    </w:p>
    <w:p w:rsidR="00A6791E" w:rsidRPr="00A6791E" w:rsidRDefault="00B060E8" w:rsidP="00A6791E">
      <w:pPr>
        <w:jc w:val="both"/>
        <w:rPr>
          <w:rFonts w:eastAsia="Times New Roman" w:cs="Calibri"/>
          <w:color w:val="000000"/>
          <w:sz w:val="22"/>
          <w:szCs w:val="22"/>
          <w:lang w:val="bs-Latn-BA"/>
        </w:rPr>
      </w:pPr>
      <w:r>
        <w:rPr>
          <w:rFonts w:cs="Arial"/>
          <w:color w:val="000000" w:themeColor="text1"/>
          <w:sz w:val="22"/>
          <w:szCs w:val="22"/>
          <w:lang w:val="bs-Latn-BA"/>
        </w:rPr>
        <w:t>Prema podacima Poreske uprave Crne Gore u 2019. finansijski izvještaj predalo je 8</w:t>
      </w:r>
      <w:r w:rsidR="00000E91">
        <w:rPr>
          <w:rFonts w:cs="Arial"/>
          <w:color w:val="000000" w:themeColor="text1"/>
          <w:sz w:val="22"/>
          <w:szCs w:val="22"/>
          <w:lang w:val="bs-Latn-BA"/>
        </w:rPr>
        <w:t>.</w:t>
      </w:r>
      <w:r>
        <w:rPr>
          <w:rFonts w:cs="Arial"/>
          <w:color w:val="000000" w:themeColor="text1"/>
          <w:sz w:val="22"/>
          <w:szCs w:val="22"/>
          <w:lang w:val="bs-Latn-BA"/>
        </w:rPr>
        <w:t xml:space="preserve">414 </w:t>
      </w:r>
      <w:r w:rsidR="009D1B26">
        <w:rPr>
          <w:rFonts w:cs="Arial"/>
          <w:color w:val="000000" w:themeColor="text1"/>
          <w:sz w:val="22"/>
          <w:szCs w:val="22"/>
          <w:lang w:val="bs-Latn-BA"/>
        </w:rPr>
        <w:t>privrednih</w:t>
      </w:r>
      <w:r>
        <w:rPr>
          <w:rFonts w:cs="Arial"/>
          <w:color w:val="000000" w:themeColor="text1"/>
          <w:sz w:val="22"/>
          <w:szCs w:val="22"/>
          <w:lang w:val="bs-Latn-BA"/>
        </w:rPr>
        <w:t xml:space="preserve"> subjekata što predstavlja povećanje za 7% u odnosu na 2018. godinu.</w:t>
      </w:r>
      <w:r w:rsidR="00A6791E">
        <w:rPr>
          <w:rFonts w:cs="Arial"/>
          <w:color w:val="000000" w:themeColor="text1"/>
          <w:sz w:val="22"/>
          <w:szCs w:val="22"/>
          <w:lang w:val="bs-Latn-BA"/>
        </w:rPr>
        <w:t xml:space="preserve"> </w:t>
      </w:r>
      <w:r w:rsidR="00A6791E" w:rsidRPr="00A6791E">
        <w:rPr>
          <w:rFonts w:cs="Arial"/>
          <w:color w:val="000000" w:themeColor="text1"/>
          <w:sz w:val="22"/>
          <w:szCs w:val="22"/>
          <w:lang w:val="bs-Latn-BA"/>
        </w:rPr>
        <w:t xml:space="preserve">Najveće povećanje broja </w:t>
      </w:r>
      <w:r w:rsidR="009D1B26">
        <w:rPr>
          <w:rFonts w:cs="Arial"/>
          <w:color w:val="000000" w:themeColor="text1"/>
          <w:sz w:val="22"/>
          <w:szCs w:val="22"/>
          <w:lang w:val="bs-Latn-BA"/>
        </w:rPr>
        <w:t>privrednih</w:t>
      </w:r>
      <w:r w:rsidR="00A6791E" w:rsidRPr="00A6791E">
        <w:rPr>
          <w:rFonts w:cs="Arial"/>
          <w:color w:val="000000" w:themeColor="text1"/>
          <w:sz w:val="22"/>
          <w:szCs w:val="22"/>
          <w:lang w:val="bs-Latn-BA"/>
        </w:rPr>
        <w:t xml:space="preserve"> subjekata evidentirano je u djelatnosti</w:t>
      </w:r>
      <w:r w:rsidR="00F56DA8">
        <w:rPr>
          <w:rFonts w:cs="Arial"/>
          <w:color w:val="000000" w:themeColor="text1"/>
          <w:sz w:val="22"/>
          <w:szCs w:val="22"/>
          <w:lang w:val="bs-Latn-BA"/>
        </w:rPr>
        <w:t>ma:</w:t>
      </w:r>
      <w:r w:rsidR="00A6791E" w:rsidRPr="00A6791E">
        <w:rPr>
          <w:rFonts w:cs="Arial"/>
          <w:color w:val="000000" w:themeColor="text1"/>
          <w:sz w:val="22"/>
          <w:szCs w:val="22"/>
          <w:lang w:val="bs-Latn-BA"/>
        </w:rPr>
        <w:t xml:space="preserve"> </w:t>
      </w:r>
      <w:r w:rsidR="00A6791E">
        <w:rPr>
          <w:rFonts w:cs="Arial"/>
          <w:color w:val="000000" w:themeColor="text1"/>
          <w:sz w:val="22"/>
          <w:szCs w:val="22"/>
          <w:lang w:val="bs-Latn-BA"/>
        </w:rPr>
        <w:t xml:space="preserve">(i) </w:t>
      </w:r>
      <w:r w:rsidR="00F56DA8">
        <w:rPr>
          <w:rFonts w:cs="Arial"/>
          <w:color w:val="000000" w:themeColor="text1"/>
          <w:sz w:val="22"/>
          <w:szCs w:val="22"/>
          <w:lang w:val="bs-Latn-BA"/>
        </w:rPr>
        <w:t>G</w:t>
      </w:r>
      <w:r w:rsidR="00A6791E" w:rsidRPr="00A6791E">
        <w:rPr>
          <w:rFonts w:cs="Arial"/>
          <w:color w:val="000000" w:themeColor="text1"/>
          <w:sz w:val="22"/>
          <w:szCs w:val="22"/>
          <w:lang w:val="bs-Latn-BA"/>
        </w:rPr>
        <w:t>rađevina</w:t>
      </w:r>
      <w:r w:rsidR="009D1B26">
        <w:rPr>
          <w:rFonts w:cs="Arial"/>
          <w:color w:val="000000" w:themeColor="text1"/>
          <w:sz w:val="22"/>
          <w:szCs w:val="22"/>
          <w:lang w:val="bs-Latn-BA"/>
        </w:rPr>
        <w:t>r</w:t>
      </w:r>
      <w:r w:rsidR="00A6791E" w:rsidRPr="00A6791E">
        <w:rPr>
          <w:rFonts w:cs="Arial"/>
          <w:color w:val="000000" w:themeColor="text1"/>
          <w:sz w:val="22"/>
          <w:szCs w:val="22"/>
          <w:lang w:val="bs-Latn-BA"/>
        </w:rPr>
        <w:t>stv</w:t>
      </w:r>
      <w:r w:rsidR="00F56DA8">
        <w:rPr>
          <w:rFonts w:cs="Arial"/>
          <w:color w:val="000000" w:themeColor="text1"/>
          <w:sz w:val="22"/>
          <w:szCs w:val="22"/>
          <w:lang w:val="bs-Latn-BA"/>
        </w:rPr>
        <w:t>o</w:t>
      </w:r>
      <w:r w:rsidR="00A6791E" w:rsidRPr="00A6791E">
        <w:rPr>
          <w:rFonts w:cs="Arial"/>
          <w:color w:val="000000" w:themeColor="text1"/>
          <w:sz w:val="22"/>
          <w:szCs w:val="22"/>
          <w:lang w:val="bs-Latn-BA"/>
        </w:rPr>
        <w:t xml:space="preserve">, </w:t>
      </w:r>
      <w:r w:rsidR="00A6791E">
        <w:rPr>
          <w:rFonts w:cs="Arial"/>
          <w:color w:val="000000" w:themeColor="text1"/>
          <w:sz w:val="22"/>
          <w:szCs w:val="22"/>
          <w:lang w:val="bs-Latn-BA"/>
        </w:rPr>
        <w:t xml:space="preserve">(ii) </w:t>
      </w:r>
      <w:r w:rsidR="00F56DA8">
        <w:rPr>
          <w:rFonts w:eastAsia="Times New Roman" w:cs="Calibri"/>
          <w:color w:val="000000"/>
          <w:sz w:val="22"/>
          <w:szCs w:val="22"/>
          <w:lang w:val="bs-Latn-BA"/>
        </w:rPr>
        <w:t>S</w:t>
      </w:r>
      <w:r w:rsidR="00A6791E" w:rsidRPr="00A6791E">
        <w:rPr>
          <w:rFonts w:eastAsia="Times New Roman" w:cs="Calibri"/>
          <w:color w:val="000000"/>
          <w:sz w:val="22"/>
          <w:szCs w:val="22"/>
          <w:lang w:val="bs-Latn-BA"/>
        </w:rPr>
        <w:t xml:space="preserve">tručne, naučne, inovacione i tehničke djelatnosti, </w:t>
      </w:r>
      <w:r w:rsidR="00A6791E">
        <w:rPr>
          <w:rFonts w:eastAsia="Times New Roman" w:cs="Calibri"/>
          <w:color w:val="000000"/>
          <w:sz w:val="22"/>
          <w:szCs w:val="22"/>
          <w:lang w:val="bs-Latn-BA"/>
        </w:rPr>
        <w:t xml:space="preserve">(iii) </w:t>
      </w:r>
      <w:r w:rsidR="00F56DA8">
        <w:rPr>
          <w:rFonts w:eastAsia="Times New Roman" w:cs="Calibri"/>
          <w:color w:val="000000"/>
          <w:sz w:val="22"/>
          <w:szCs w:val="22"/>
          <w:lang w:val="bs-Latn-BA"/>
        </w:rPr>
        <w:t>P</w:t>
      </w:r>
      <w:r w:rsidR="00A6791E">
        <w:rPr>
          <w:rFonts w:eastAsia="Times New Roman" w:cs="Calibri"/>
          <w:color w:val="000000"/>
          <w:sz w:val="22"/>
          <w:szCs w:val="22"/>
          <w:lang w:val="bs-Latn-BA"/>
        </w:rPr>
        <w:t>oslovanje nek</w:t>
      </w:r>
      <w:r w:rsidR="009D1B26">
        <w:rPr>
          <w:rFonts w:eastAsia="Times New Roman" w:cs="Calibri"/>
          <w:color w:val="000000"/>
          <w:sz w:val="22"/>
          <w:szCs w:val="22"/>
          <w:lang w:val="bs-Latn-BA"/>
        </w:rPr>
        <w:t>r</w:t>
      </w:r>
      <w:r w:rsidR="00A6791E">
        <w:rPr>
          <w:rFonts w:eastAsia="Times New Roman" w:cs="Calibri"/>
          <w:color w:val="000000"/>
          <w:sz w:val="22"/>
          <w:szCs w:val="22"/>
          <w:lang w:val="bs-Latn-BA"/>
        </w:rPr>
        <w:t xml:space="preserve">etninama, (iv) </w:t>
      </w:r>
      <w:r w:rsidR="00F56DA8">
        <w:rPr>
          <w:rFonts w:eastAsia="Times New Roman" w:cs="Calibri"/>
          <w:color w:val="000000"/>
          <w:sz w:val="22"/>
          <w:szCs w:val="22"/>
          <w:lang w:val="bs-Latn-BA"/>
        </w:rPr>
        <w:t>A</w:t>
      </w:r>
      <w:r w:rsidR="00A6791E" w:rsidRPr="00A6791E">
        <w:rPr>
          <w:rFonts w:eastAsia="Times New Roman" w:cs="Calibri"/>
          <w:color w:val="000000"/>
          <w:sz w:val="22"/>
          <w:szCs w:val="22"/>
          <w:lang w:val="bs-Latn-BA"/>
        </w:rPr>
        <w:t xml:space="preserve">dministrativne i pomoćne uslužne djelatnosti i </w:t>
      </w:r>
      <w:r w:rsidR="00A6791E">
        <w:rPr>
          <w:rFonts w:eastAsia="Times New Roman" w:cs="Calibri"/>
          <w:color w:val="000000"/>
          <w:sz w:val="22"/>
          <w:szCs w:val="22"/>
          <w:lang w:val="bs-Latn-BA"/>
        </w:rPr>
        <w:t xml:space="preserve">(v) </w:t>
      </w:r>
      <w:r w:rsidR="00F56DA8">
        <w:rPr>
          <w:rFonts w:eastAsia="Times New Roman" w:cs="Calibri"/>
          <w:color w:val="000000"/>
          <w:sz w:val="22"/>
          <w:szCs w:val="22"/>
          <w:lang w:val="bs-Latn-BA"/>
        </w:rPr>
        <w:t>O</w:t>
      </w:r>
      <w:r w:rsidR="00A6791E" w:rsidRPr="00A6791E">
        <w:rPr>
          <w:rFonts w:eastAsia="Times New Roman" w:cs="Calibri"/>
          <w:color w:val="000000"/>
          <w:sz w:val="22"/>
          <w:szCs w:val="22"/>
          <w:lang w:val="bs-Latn-BA"/>
        </w:rPr>
        <w:t>brazovanj</w:t>
      </w:r>
      <w:r w:rsidR="00F56DA8">
        <w:rPr>
          <w:rFonts w:eastAsia="Times New Roman" w:cs="Calibri"/>
          <w:color w:val="000000"/>
          <w:sz w:val="22"/>
          <w:szCs w:val="22"/>
          <w:lang w:val="bs-Latn-BA"/>
        </w:rPr>
        <w:t>e</w:t>
      </w:r>
      <w:r w:rsidR="00A6791E">
        <w:rPr>
          <w:rFonts w:eastAsia="Times New Roman" w:cs="Calibri"/>
          <w:color w:val="000000"/>
          <w:sz w:val="22"/>
          <w:szCs w:val="22"/>
          <w:lang w:val="bs-Latn-BA"/>
        </w:rPr>
        <w:t>.</w:t>
      </w:r>
    </w:p>
    <w:p w:rsidR="00B060E8" w:rsidRDefault="00B060E8" w:rsidP="005E3980">
      <w:pPr>
        <w:jc w:val="both"/>
        <w:rPr>
          <w:rFonts w:cs="Arial"/>
          <w:color w:val="000000" w:themeColor="text1"/>
          <w:sz w:val="22"/>
          <w:szCs w:val="22"/>
          <w:lang w:val="bs-Latn-BA"/>
        </w:rPr>
      </w:pPr>
    </w:p>
    <w:p w:rsidR="00B060E8" w:rsidRPr="00373F67" w:rsidRDefault="00B060E8" w:rsidP="00B060E8">
      <w:pPr>
        <w:jc w:val="both"/>
        <w:rPr>
          <w:rFonts w:cs="Arial"/>
          <w:color w:val="000000" w:themeColor="text1"/>
          <w:sz w:val="22"/>
          <w:szCs w:val="22"/>
        </w:rPr>
      </w:pPr>
      <w:r w:rsidRPr="00373F67">
        <w:rPr>
          <w:rFonts w:cs="Arial"/>
          <w:color w:val="000000" w:themeColor="text1"/>
          <w:sz w:val="22"/>
          <w:szCs w:val="22"/>
        </w:rPr>
        <w:t xml:space="preserve">Privreda Glavnog grada je raznovrsna. Ipak, u ukupnom broju </w:t>
      </w:r>
      <w:r w:rsidR="009D1B26">
        <w:rPr>
          <w:rFonts w:cs="Arial"/>
          <w:color w:val="000000" w:themeColor="text1"/>
          <w:sz w:val="22"/>
          <w:szCs w:val="22"/>
        </w:rPr>
        <w:t>privrednih</w:t>
      </w:r>
      <w:r w:rsidRPr="00373F67">
        <w:rPr>
          <w:rFonts w:cs="Arial"/>
          <w:color w:val="000000" w:themeColor="text1"/>
          <w:sz w:val="22"/>
          <w:szCs w:val="22"/>
        </w:rPr>
        <w:t xml:space="preserve"> subjekata dominiraju mikro i mala preduzeća. Prema podacima Poreske uprave među subjektima koji su predali finansijski izvještaj za 2019. godinu 97,7% su bila preduzeća koja zapošljavaju do 50 radnika. Čak 52,3% preduzeća iz Glavnog grada su zapošljavala do 1 radnika, 31,6% preduzeća je zapošljavalo 2-5 radnika. Sa druge strane, 39 preduzeća je zapošljavalo preko 250 radnika (0,46% ukupnog broja aktivnih </w:t>
      </w:r>
      <w:r w:rsidR="009D1B26">
        <w:rPr>
          <w:rFonts w:cs="Arial"/>
          <w:color w:val="000000" w:themeColor="text1"/>
          <w:sz w:val="22"/>
          <w:szCs w:val="22"/>
        </w:rPr>
        <w:t>privrednih</w:t>
      </w:r>
      <w:r w:rsidRPr="00373F67">
        <w:rPr>
          <w:rFonts w:cs="Arial"/>
          <w:color w:val="000000" w:themeColor="text1"/>
          <w:sz w:val="22"/>
          <w:szCs w:val="22"/>
        </w:rPr>
        <w:t xml:space="preserve"> subjekata iz Podgorice).</w:t>
      </w:r>
    </w:p>
    <w:p w:rsidR="00B060E8" w:rsidRDefault="00B060E8" w:rsidP="005E3980">
      <w:pPr>
        <w:jc w:val="both"/>
        <w:rPr>
          <w:rFonts w:cs="Arial"/>
          <w:color w:val="000000" w:themeColor="text1"/>
          <w:sz w:val="22"/>
          <w:szCs w:val="22"/>
          <w:lang w:val="bs-Latn-BA"/>
        </w:rPr>
      </w:pPr>
    </w:p>
    <w:p w:rsidR="00A6124E" w:rsidRDefault="00A6124E" w:rsidP="005E3980">
      <w:pPr>
        <w:jc w:val="both"/>
        <w:rPr>
          <w:rFonts w:cs="Arial"/>
          <w:color w:val="000000" w:themeColor="text1"/>
          <w:szCs w:val="20"/>
          <w:lang w:val="bs-Latn-BA"/>
        </w:rPr>
      </w:pPr>
      <w:r w:rsidRPr="00373F67">
        <w:rPr>
          <w:rFonts w:cs="Arial"/>
          <w:color w:val="000000" w:themeColor="text1"/>
          <w:szCs w:val="20"/>
          <w:lang w:val="bs-Latn-BA"/>
        </w:rPr>
        <w:t xml:space="preserve">Tabela </w:t>
      </w:r>
      <w:r w:rsidR="00B060E8">
        <w:rPr>
          <w:rFonts w:cs="Arial"/>
          <w:color w:val="000000" w:themeColor="text1"/>
          <w:szCs w:val="20"/>
          <w:lang w:val="bs-Latn-BA"/>
        </w:rPr>
        <w:t>7</w:t>
      </w:r>
      <w:r w:rsidRPr="00373F67">
        <w:rPr>
          <w:rFonts w:cs="Arial"/>
          <w:color w:val="000000" w:themeColor="text1"/>
          <w:szCs w:val="20"/>
          <w:lang w:val="bs-Latn-BA"/>
        </w:rPr>
        <w:t xml:space="preserve">: Broj i struktura privrednih subjekata iz Glavnog grada Podgorica koji su predali </w:t>
      </w:r>
      <w:r w:rsidR="009D1B26">
        <w:rPr>
          <w:rFonts w:cs="Arial"/>
          <w:color w:val="000000" w:themeColor="text1"/>
          <w:szCs w:val="20"/>
          <w:lang w:val="bs-Latn-BA"/>
        </w:rPr>
        <w:t xml:space="preserve">finansijski </w:t>
      </w:r>
      <w:r w:rsidRPr="00373F67">
        <w:rPr>
          <w:rFonts w:cs="Arial"/>
          <w:color w:val="000000" w:themeColor="text1"/>
          <w:szCs w:val="20"/>
          <w:lang w:val="bs-Latn-BA"/>
        </w:rPr>
        <w:t>izvještaj u 2019. godini</w:t>
      </w:r>
    </w:p>
    <w:p w:rsidR="006A18D1" w:rsidRPr="00373F67" w:rsidRDefault="006A18D1" w:rsidP="005E3980">
      <w:pPr>
        <w:jc w:val="both"/>
        <w:rPr>
          <w:rFonts w:cs="Arial"/>
          <w:color w:val="000000" w:themeColor="text1"/>
          <w:szCs w:val="20"/>
          <w:lang w:val="bs-Latn-BA"/>
        </w:rPr>
      </w:pPr>
    </w:p>
    <w:tbl>
      <w:tblPr>
        <w:tblW w:w="9052"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656"/>
        <w:gridCol w:w="1044"/>
        <w:gridCol w:w="1324"/>
        <w:gridCol w:w="935"/>
        <w:gridCol w:w="1187"/>
      </w:tblGrid>
      <w:tr w:rsidR="00A6124E" w:rsidRPr="00373F67" w:rsidTr="00A6791E">
        <w:trPr>
          <w:trHeight w:val="291"/>
        </w:trPr>
        <w:tc>
          <w:tcPr>
            <w:tcW w:w="4656" w:type="dxa"/>
            <w:tcBorders>
              <w:right w:val="single" w:sz="4" w:space="0" w:color="DBDBDB" w:themeColor="accent3" w:themeTint="66"/>
            </w:tcBorders>
            <w:shd w:val="clear" w:color="auto" w:fill="FFD966" w:themeFill="accent4" w:themeFillTint="99"/>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 </w:t>
            </w:r>
          </w:p>
        </w:tc>
        <w:tc>
          <w:tcPr>
            <w:tcW w:w="1016" w:type="dxa"/>
            <w:tcBorders>
              <w:left w:val="single" w:sz="4" w:space="0" w:color="DBDBDB" w:themeColor="accent3" w:themeTint="66"/>
              <w:right w:val="single" w:sz="4" w:space="0" w:color="DBDBDB" w:themeColor="accent3" w:themeTint="66"/>
            </w:tcBorders>
            <w:shd w:val="clear" w:color="auto" w:fill="FFD966" w:themeFill="accent4" w:themeFillTint="99"/>
            <w:noWrap/>
            <w:vAlign w:val="center"/>
            <w:hideMark/>
          </w:tcPr>
          <w:p w:rsidR="00A6124E" w:rsidRPr="00373F67" w:rsidRDefault="00A6124E" w:rsidP="00767812">
            <w:pPr>
              <w:jc w:val="center"/>
              <w:rPr>
                <w:rFonts w:eastAsia="Times New Roman" w:cs="Calibri"/>
                <w:color w:val="000000"/>
                <w:sz w:val="18"/>
                <w:lang w:val="bs-Latn-BA"/>
              </w:rPr>
            </w:pPr>
            <w:r w:rsidRPr="00373F67">
              <w:rPr>
                <w:rFonts w:eastAsia="Times New Roman" w:cs="Calibri"/>
                <w:color w:val="000000"/>
                <w:sz w:val="18"/>
                <w:lang w:val="bs-Latn-BA"/>
              </w:rPr>
              <w:t>Broj privrednih subjekata</w:t>
            </w:r>
          </w:p>
        </w:tc>
        <w:tc>
          <w:tcPr>
            <w:tcW w:w="1289" w:type="dxa"/>
            <w:tcBorders>
              <w:left w:val="single" w:sz="4" w:space="0" w:color="DBDBDB" w:themeColor="accent3" w:themeTint="66"/>
              <w:bottom w:val="single" w:sz="4" w:space="0" w:color="A6A6A6" w:themeColor="background1" w:themeShade="A6"/>
            </w:tcBorders>
            <w:shd w:val="clear" w:color="auto" w:fill="FFD966" w:themeFill="accent4" w:themeFillTint="99"/>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Prihodi u EUR</w:t>
            </w:r>
          </w:p>
        </w:tc>
        <w:tc>
          <w:tcPr>
            <w:tcW w:w="935" w:type="dxa"/>
            <w:shd w:val="clear" w:color="auto" w:fill="FFD966" w:themeFill="accent4" w:themeFillTint="99"/>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Prihodi Učešće</w:t>
            </w:r>
          </w:p>
        </w:tc>
        <w:tc>
          <w:tcPr>
            <w:tcW w:w="1156" w:type="dxa"/>
            <w:shd w:val="clear" w:color="auto" w:fill="FFD966" w:themeFill="accent4" w:themeFillTint="99"/>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Bruto zarade</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Poljoprivreda, šumarstvo i ribarstvo</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61</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37.684.657</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0,7</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9.911.053</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 xml:space="preserve">Vađenje ruda i kamena </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24</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6.548.262</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0,1</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1.097.908</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 xml:space="preserve">Prerađivačka industrija </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515</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279.391.870</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4,9</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16.595.208</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lastRenderedPageBreak/>
              <w:t>Snabdijevanje električnom energijom gasom i parom</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38</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145.233.749</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2,5</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26.230.219</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Snabdijevanjem vodom, upravljanje otpadnim vodama</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25</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37.794.987</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0,7</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11.495.988</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Građevinarstvo</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868</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730.920.589</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12,7</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112.007.433</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Trgovina na veliko i trgovina malo i popravka motornih vozila</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2353</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2.908.680.721</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50,5</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141.878.251</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Saobraćaj i skladištenje</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346</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314.703.250</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5,5</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51.256.944</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Usluge smještaja i ishrane</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625</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119.251.213</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2,1</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18.619.601</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Informisanje i komunikacije</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437</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342.859.577</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6,0</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47.580.609</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Finansijske djelatnosti i djelatnost osiguranja</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110</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313.276.648</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5,4</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74.287.524</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Poslovanje nekretninama</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293</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27.234.200</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0,5</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2.744.944</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Stručne, naučne i tehničke djelatnosti</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1598</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243.514.761</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4,2</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31.474.142</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Administrativne i pomoćne uslužne djelatnosti</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426</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133.909.912</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2,3</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42.804.330</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Obrazovanje</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95</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9.780.692</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0,2</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2.852.500</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Zdravstvena i socijalna zaštita</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182</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22.704.163</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0,4</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4.926.314</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Umjetnost, zabava i rekreacija</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119</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70.693.237</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1,2</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19.051.358</w:t>
            </w:r>
          </w:p>
        </w:tc>
      </w:tr>
      <w:tr w:rsidR="00A6124E" w:rsidRPr="00373F67" w:rsidTr="009D1B26">
        <w:trPr>
          <w:trHeight w:val="291"/>
        </w:trPr>
        <w:tc>
          <w:tcPr>
            <w:tcW w:w="4656" w:type="dxa"/>
            <w:tcBorders>
              <w:right w:val="single" w:sz="4" w:space="0" w:color="DBDBDB" w:themeColor="accent3" w:themeTint="66"/>
            </w:tcBorders>
            <w:shd w:val="clear" w:color="auto" w:fill="auto"/>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Ostale uslužne djelatnosti</w:t>
            </w:r>
          </w:p>
        </w:tc>
        <w:tc>
          <w:tcPr>
            <w:tcW w:w="1016"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299</w:t>
            </w:r>
          </w:p>
        </w:tc>
        <w:tc>
          <w:tcPr>
            <w:tcW w:w="1289" w:type="dxa"/>
            <w:tcBorders>
              <w:left w:val="single" w:sz="4" w:space="0" w:color="DBDBDB" w:themeColor="accent3" w:themeTint="66"/>
              <w:righ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10.588.621</w:t>
            </w:r>
          </w:p>
        </w:tc>
        <w:tc>
          <w:tcPr>
            <w:tcW w:w="935" w:type="dxa"/>
            <w:tcBorders>
              <w:left w:val="single" w:sz="4" w:space="0" w:color="DBDBDB" w:themeColor="accent3" w:themeTint="66"/>
            </w:tcBorders>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0,2</w:t>
            </w:r>
          </w:p>
        </w:tc>
        <w:tc>
          <w:tcPr>
            <w:tcW w:w="1156" w:type="dxa"/>
            <w:shd w:val="clear" w:color="auto" w:fill="auto"/>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3.117.220</w:t>
            </w:r>
          </w:p>
        </w:tc>
      </w:tr>
      <w:tr w:rsidR="00A6124E" w:rsidRPr="00373F67" w:rsidTr="00A6791E">
        <w:trPr>
          <w:trHeight w:val="291"/>
        </w:trPr>
        <w:tc>
          <w:tcPr>
            <w:tcW w:w="4656" w:type="dxa"/>
            <w:tcBorders>
              <w:right w:val="single" w:sz="4" w:space="0" w:color="DBDBDB" w:themeColor="accent3" w:themeTint="66"/>
            </w:tcBorders>
            <w:shd w:val="clear" w:color="auto" w:fill="FFD966" w:themeFill="accent4" w:themeFillTint="99"/>
            <w:noWrap/>
            <w:vAlign w:val="center"/>
            <w:hideMark/>
          </w:tcPr>
          <w:p w:rsidR="00A6124E" w:rsidRPr="00373F67" w:rsidRDefault="00A6124E" w:rsidP="005E3980">
            <w:pPr>
              <w:rPr>
                <w:rFonts w:eastAsia="Times New Roman" w:cs="Calibri"/>
                <w:color w:val="000000"/>
                <w:sz w:val="18"/>
                <w:lang w:val="bs-Latn-BA"/>
              </w:rPr>
            </w:pPr>
            <w:r w:rsidRPr="00373F67">
              <w:rPr>
                <w:rFonts w:eastAsia="Times New Roman" w:cs="Calibri"/>
                <w:color w:val="000000"/>
                <w:sz w:val="18"/>
                <w:lang w:val="bs-Latn-BA"/>
              </w:rPr>
              <w:t>Ukupno</w:t>
            </w:r>
          </w:p>
        </w:tc>
        <w:tc>
          <w:tcPr>
            <w:tcW w:w="1016" w:type="dxa"/>
            <w:tcBorders>
              <w:left w:val="single" w:sz="4" w:space="0" w:color="DBDBDB" w:themeColor="accent3" w:themeTint="66"/>
              <w:right w:val="single" w:sz="4" w:space="0" w:color="DBDBDB" w:themeColor="accent3" w:themeTint="66"/>
            </w:tcBorders>
            <w:shd w:val="clear" w:color="auto" w:fill="FFD966" w:themeFill="accent4" w:themeFillTint="99"/>
            <w:noWrap/>
            <w:vAlign w:val="center"/>
            <w:hideMark/>
          </w:tcPr>
          <w:p w:rsidR="00A6124E" w:rsidRPr="00373F67" w:rsidRDefault="00A6124E" w:rsidP="00767812">
            <w:pPr>
              <w:jc w:val="right"/>
              <w:rPr>
                <w:rFonts w:eastAsia="Times New Roman" w:cs="Calibri"/>
                <w:color w:val="000000"/>
                <w:sz w:val="18"/>
                <w:lang w:val="bs-Latn-BA"/>
              </w:rPr>
            </w:pPr>
            <w:r w:rsidRPr="00373F67">
              <w:rPr>
                <w:rFonts w:eastAsia="Times New Roman" w:cs="Calibri"/>
                <w:color w:val="000000"/>
                <w:sz w:val="18"/>
                <w:lang w:val="bs-Latn-BA"/>
              </w:rPr>
              <w:t>8</w:t>
            </w:r>
            <w:r w:rsidR="009D1B26">
              <w:rPr>
                <w:rFonts w:eastAsia="Times New Roman" w:cs="Calibri"/>
                <w:color w:val="000000"/>
                <w:sz w:val="18"/>
                <w:lang w:val="bs-Latn-BA"/>
              </w:rPr>
              <w:t>.</w:t>
            </w:r>
            <w:r w:rsidRPr="00373F67">
              <w:rPr>
                <w:rFonts w:eastAsia="Times New Roman" w:cs="Calibri"/>
                <w:color w:val="000000"/>
                <w:sz w:val="18"/>
                <w:lang w:val="bs-Latn-BA"/>
              </w:rPr>
              <w:t>414</w:t>
            </w:r>
          </w:p>
        </w:tc>
        <w:tc>
          <w:tcPr>
            <w:tcW w:w="1289" w:type="dxa"/>
            <w:tcBorders>
              <w:left w:val="single" w:sz="4" w:space="0" w:color="DBDBDB" w:themeColor="accent3" w:themeTint="66"/>
              <w:right w:val="single" w:sz="4" w:space="0" w:color="DBDBDB" w:themeColor="accent3" w:themeTint="66"/>
            </w:tcBorders>
            <w:shd w:val="clear" w:color="auto" w:fill="FFD966" w:themeFill="accent4" w:themeFillTint="99"/>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5.754.771.109</w:t>
            </w:r>
          </w:p>
        </w:tc>
        <w:tc>
          <w:tcPr>
            <w:tcW w:w="935" w:type="dxa"/>
            <w:tcBorders>
              <w:left w:val="single" w:sz="4" w:space="0" w:color="DBDBDB" w:themeColor="accent3" w:themeTint="66"/>
            </w:tcBorders>
            <w:shd w:val="clear" w:color="auto" w:fill="FFD966" w:themeFill="accent4" w:themeFillTint="99"/>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100,0</w:t>
            </w:r>
          </w:p>
        </w:tc>
        <w:tc>
          <w:tcPr>
            <w:tcW w:w="1156" w:type="dxa"/>
            <w:shd w:val="clear" w:color="auto" w:fill="FFD966" w:themeFill="accent4" w:themeFillTint="99"/>
            <w:noWrap/>
            <w:vAlign w:val="center"/>
            <w:hideMark/>
          </w:tcPr>
          <w:p w:rsidR="00A6124E" w:rsidRPr="00373F67" w:rsidRDefault="00A6124E" w:rsidP="005E3980">
            <w:pPr>
              <w:jc w:val="right"/>
              <w:rPr>
                <w:rFonts w:eastAsia="Times New Roman" w:cs="Calibri"/>
                <w:color w:val="000000"/>
                <w:sz w:val="18"/>
                <w:lang w:val="bs-Latn-BA"/>
              </w:rPr>
            </w:pPr>
            <w:r w:rsidRPr="00373F67">
              <w:rPr>
                <w:rFonts w:eastAsia="Times New Roman" w:cs="Calibri"/>
                <w:color w:val="000000"/>
                <w:sz w:val="18"/>
                <w:lang w:val="bs-Latn-BA"/>
              </w:rPr>
              <w:t>617.931.546</w:t>
            </w:r>
          </w:p>
        </w:tc>
      </w:tr>
    </w:tbl>
    <w:p w:rsidR="00A6124E" w:rsidRPr="00373F67" w:rsidRDefault="00A6124E" w:rsidP="005E3980">
      <w:pPr>
        <w:jc w:val="right"/>
        <w:rPr>
          <w:rFonts w:cs="Arial"/>
          <w:i/>
          <w:iCs/>
          <w:color w:val="000000" w:themeColor="text1"/>
          <w:sz w:val="18"/>
          <w:lang w:val="bs-Latn-BA"/>
        </w:rPr>
      </w:pPr>
      <w:r w:rsidRPr="00373F67">
        <w:rPr>
          <w:rFonts w:cs="Arial"/>
          <w:i/>
          <w:iCs/>
          <w:color w:val="000000" w:themeColor="text1"/>
          <w:sz w:val="18"/>
          <w:lang w:val="bs-Latn-BA"/>
        </w:rPr>
        <w:t>Izvor: Crnogorska privreda 2020, Privredna Komora Crne Gore</w:t>
      </w:r>
    </w:p>
    <w:p w:rsidR="00015EE9" w:rsidRDefault="00015EE9" w:rsidP="005E3980">
      <w:pPr>
        <w:jc w:val="both"/>
        <w:rPr>
          <w:rFonts w:cs="Arial"/>
          <w:color w:val="000000" w:themeColor="text1"/>
          <w:sz w:val="22"/>
          <w:szCs w:val="22"/>
        </w:rPr>
      </w:pPr>
    </w:p>
    <w:p w:rsidR="00A6124E" w:rsidRDefault="00A6124E" w:rsidP="00587108">
      <w:pPr>
        <w:jc w:val="both"/>
        <w:rPr>
          <w:rFonts w:cs="Arial"/>
          <w:color w:val="000000" w:themeColor="text1"/>
          <w:sz w:val="22"/>
          <w:szCs w:val="22"/>
        </w:rPr>
      </w:pPr>
      <w:r w:rsidRPr="00373F67">
        <w:rPr>
          <w:rFonts w:cs="Arial"/>
          <w:color w:val="000000" w:themeColor="text1"/>
          <w:sz w:val="22"/>
          <w:szCs w:val="22"/>
        </w:rPr>
        <w:t>Struktura ukupnog broja aktivnih privrednih subjekata u Glavnom gradu Podgorici</w:t>
      </w:r>
      <w:r w:rsidR="00D508B2">
        <w:rPr>
          <w:rFonts w:cs="Arial"/>
          <w:color w:val="000000" w:themeColor="text1"/>
          <w:sz w:val="22"/>
          <w:szCs w:val="22"/>
        </w:rPr>
        <w:t xml:space="preserve">, </w:t>
      </w:r>
      <w:r w:rsidRPr="00373F67">
        <w:rPr>
          <w:rFonts w:cs="Arial"/>
          <w:color w:val="000000" w:themeColor="text1"/>
          <w:sz w:val="22"/>
          <w:szCs w:val="22"/>
        </w:rPr>
        <w:t xml:space="preserve">ukazuje na činjenicu da je preko polovine </w:t>
      </w:r>
      <w:r w:rsidR="009D1B26">
        <w:rPr>
          <w:rFonts w:cs="Arial"/>
          <w:color w:val="000000" w:themeColor="text1"/>
          <w:sz w:val="22"/>
          <w:szCs w:val="22"/>
        </w:rPr>
        <w:t>privrednih</w:t>
      </w:r>
      <w:r w:rsidRPr="00373F67">
        <w:rPr>
          <w:rFonts w:cs="Arial"/>
          <w:color w:val="000000" w:themeColor="text1"/>
          <w:sz w:val="22"/>
          <w:szCs w:val="22"/>
        </w:rPr>
        <w:t xml:space="preserve"> subjekata u 2019. godini iz sektora djelatnosti </w:t>
      </w:r>
      <w:r w:rsidR="00F56DA8">
        <w:rPr>
          <w:rFonts w:cs="Arial"/>
          <w:color w:val="000000" w:themeColor="text1"/>
          <w:sz w:val="22"/>
          <w:szCs w:val="22"/>
        </w:rPr>
        <w:t>T</w:t>
      </w:r>
      <w:r w:rsidRPr="00373F67">
        <w:rPr>
          <w:rFonts w:cs="Arial"/>
          <w:color w:val="000000" w:themeColor="text1"/>
          <w:sz w:val="22"/>
          <w:szCs w:val="22"/>
        </w:rPr>
        <w:t>rgovina na veliko i trgovina na malo, popravka motornih vozila i motocikala</w:t>
      </w:r>
      <w:r w:rsidR="009D1B26">
        <w:rPr>
          <w:rFonts w:cs="Arial"/>
          <w:color w:val="000000" w:themeColor="text1"/>
          <w:sz w:val="22"/>
          <w:szCs w:val="22"/>
        </w:rPr>
        <w:t xml:space="preserve"> </w:t>
      </w:r>
      <w:r w:rsidR="009D1B26" w:rsidRPr="00373F67">
        <w:rPr>
          <w:rFonts w:cs="Arial"/>
          <w:color w:val="000000" w:themeColor="text1"/>
          <w:sz w:val="22"/>
          <w:szCs w:val="22"/>
        </w:rPr>
        <w:t>(50,5%)</w:t>
      </w:r>
      <w:r w:rsidRPr="00373F67">
        <w:rPr>
          <w:rFonts w:cs="Arial"/>
          <w:color w:val="000000" w:themeColor="text1"/>
          <w:sz w:val="22"/>
          <w:szCs w:val="22"/>
        </w:rPr>
        <w:t>. Ovo je značajno drugačija struktura u odnosu na strukturu na nivou Crne Gore gdje je taj procenat za preduzeća iz pomenut</w:t>
      </w:r>
      <w:r w:rsidR="009D1B26">
        <w:rPr>
          <w:rFonts w:cs="Arial"/>
          <w:color w:val="000000" w:themeColor="text1"/>
          <w:sz w:val="22"/>
          <w:szCs w:val="22"/>
        </w:rPr>
        <w:t xml:space="preserve">e djelatnosti </w:t>
      </w:r>
      <w:r w:rsidRPr="00373F67">
        <w:rPr>
          <w:rFonts w:cs="Arial"/>
          <w:color w:val="000000" w:themeColor="text1"/>
          <w:sz w:val="22"/>
          <w:szCs w:val="22"/>
        </w:rPr>
        <w:t xml:space="preserve">značajno niži (26,5%). </w:t>
      </w:r>
      <w:r w:rsidR="009D1B26">
        <w:rPr>
          <w:rFonts w:cs="Arial"/>
          <w:color w:val="000000" w:themeColor="text1"/>
          <w:sz w:val="22"/>
          <w:szCs w:val="22"/>
        </w:rPr>
        <w:t>Na</w:t>
      </w:r>
      <w:r w:rsidRPr="00373F67">
        <w:rPr>
          <w:rFonts w:cs="Arial"/>
          <w:color w:val="000000" w:themeColor="text1"/>
          <w:sz w:val="22"/>
          <w:szCs w:val="22"/>
        </w:rPr>
        <w:t xml:space="preserve"> nivou Glavnog grada na drugom mjestu </w:t>
      </w:r>
      <w:r w:rsidR="009D1B26">
        <w:rPr>
          <w:rFonts w:cs="Arial"/>
          <w:color w:val="000000" w:themeColor="text1"/>
          <w:sz w:val="22"/>
          <w:szCs w:val="22"/>
        </w:rPr>
        <w:t xml:space="preserve">su privredni </w:t>
      </w:r>
      <w:r w:rsidRPr="00373F67">
        <w:rPr>
          <w:rFonts w:cs="Arial"/>
          <w:color w:val="000000" w:themeColor="text1"/>
          <w:sz w:val="22"/>
          <w:szCs w:val="22"/>
        </w:rPr>
        <w:t xml:space="preserve"> subjekti koji posluju u </w:t>
      </w:r>
      <w:r w:rsidR="009D1B26">
        <w:rPr>
          <w:rFonts w:cs="Arial"/>
          <w:color w:val="000000" w:themeColor="text1"/>
          <w:sz w:val="22"/>
          <w:szCs w:val="22"/>
        </w:rPr>
        <w:t>djelatnosti</w:t>
      </w:r>
      <w:r w:rsidRPr="00373F67">
        <w:rPr>
          <w:rFonts w:cs="Arial"/>
          <w:color w:val="000000" w:themeColor="text1"/>
          <w:sz w:val="22"/>
          <w:szCs w:val="22"/>
        </w:rPr>
        <w:t xml:space="preserve"> </w:t>
      </w:r>
      <w:r w:rsidR="00F56DA8">
        <w:rPr>
          <w:rFonts w:cs="Arial"/>
          <w:color w:val="000000" w:themeColor="text1"/>
          <w:sz w:val="22"/>
          <w:szCs w:val="22"/>
        </w:rPr>
        <w:t>G</w:t>
      </w:r>
      <w:r w:rsidRPr="00373F67">
        <w:rPr>
          <w:rFonts w:cs="Arial"/>
          <w:color w:val="000000" w:themeColor="text1"/>
          <w:sz w:val="22"/>
          <w:szCs w:val="22"/>
        </w:rPr>
        <w:t xml:space="preserve">rađevinarstva (12,7%). Takođe, značajno </w:t>
      </w:r>
      <w:r w:rsidR="00860D03" w:rsidRPr="00373F67">
        <w:rPr>
          <w:rFonts w:cs="Arial"/>
          <w:color w:val="000000" w:themeColor="text1"/>
          <w:sz w:val="22"/>
          <w:szCs w:val="22"/>
        </w:rPr>
        <w:t xml:space="preserve">je </w:t>
      </w:r>
      <w:r w:rsidRPr="00373F67">
        <w:rPr>
          <w:rFonts w:cs="Arial"/>
          <w:color w:val="000000" w:themeColor="text1"/>
          <w:sz w:val="22"/>
          <w:szCs w:val="22"/>
        </w:rPr>
        <w:t xml:space="preserve">veće učešće </w:t>
      </w:r>
      <w:r w:rsidR="009D1B26">
        <w:rPr>
          <w:rFonts w:cs="Arial"/>
          <w:color w:val="000000" w:themeColor="text1"/>
          <w:sz w:val="22"/>
          <w:szCs w:val="22"/>
        </w:rPr>
        <w:t>privrednih</w:t>
      </w:r>
      <w:r w:rsidRPr="00373F67">
        <w:rPr>
          <w:rFonts w:cs="Arial"/>
          <w:color w:val="000000" w:themeColor="text1"/>
          <w:sz w:val="22"/>
          <w:szCs w:val="22"/>
        </w:rPr>
        <w:t xml:space="preserve"> subjekata koji posluju u </w:t>
      </w:r>
      <w:r w:rsidR="009D1B26">
        <w:rPr>
          <w:rFonts w:cs="Arial"/>
          <w:color w:val="000000" w:themeColor="text1"/>
          <w:sz w:val="22"/>
          <w:szCs w:val="22"/>
        </w:rPr>
        <w:t>djelatnosti</w:t>
      </w:r>
      <w:r w:rsidRPr="00373F67">
        <w:rPr>
          <w:rFonts w:cs="Arial"/>
          <w:color w:val="000000" w:themeColor="text1"/>
          <w:sz w:val="22"/>
          <w:szCs w:val="22"/>
        </w:rPr>
        <w:t xml:space="preserve"> </w:t>
      </w:r>
      <w:r w:rsidR="00F56DA8">
        <w:rPr>
          <w:rFonts w:cs="Arial"/>
          <w:color w:val="000000" w:themeColor="text1"/>
          <w:sz w:val="22"/>
          <w:szCs w:val="22"/>
        </w:rPr>
        <w:t>I</w:t>
      </w:r>
      <w:r w:rsidRPr="00373F67">
        <w:rPr>
          <w:rFonts w:cs="Arial"/>
          <w:color w:val="000000" w:themeColor="text1"/>
          <w:sz w:val="22"/>
          <w:szCs w:val="22"/>
        </w:rPr>
        <w:t>nformisanja i komunikacija (6% na nivou Glavnog grada naspram 3,7% na nivou Crne Gore</w:t>
      </w:r>
      <w:r w:rsidR="006A18D1">
        <w:rPr>
          <w:rFonts w:cs="Arial"/>
          <w:color w:val="000000" w:themeColor="text1"/>
          <w:sz w:val="22"/>
          <w:szCs w:val="22"/>
        </w:rPr>
        <w:t>)</w:t>
      </w:r>
      <w:r w:rsidRPr="00373F67">
        <w:rPr>
          <w:rFonts w:cs="Arial"/>
          <w:color w:val="000000" w:themeColor="text1"/>
          <w:sz w:val="22"/>
          <w:szCs w:val="22"/>
        </w:rPr>
        <w:t xml:space="preserve">. S druge strane, znatno manje učešće je registrovano kod </w:t>
      </w:r>
      <w:r w:rsidR="009D1B26">
        <w:rPr>
          <w:rFonts w:cs="Arial"/>
          <w:color w:val="000000" w:themeColor="text1"/>
          <w:sz w:val="22"/>
          <w:szCs w:val="22"/>
        </w:rPr>
        <w:t>djelatnosti</w:t>
      </w:r>
      <w:r w:rsidRPr="00373F67">
        <w:rPr>
          <w:rFonts w:cs="Arial"/>
          <w:color w:val="000000" w:themeColor="text1"/>
          <w:sz w:val="22"/>
          <w:szCs w:val="22"/>
        </w:rPr>
        <w:t xml:space="preserve"> </w:t>
      </w:r>
      <w:r w:rsidR="00F56DA8">
        <w:rPr>
          <w:rFonts w:cs="Arial"/>
          <w:color w:val="000000" w:themeColor="text1"/>
          <w:sz w:val="22"/>
          <w:szCs w:val="22"/>
        </w:rPr>
        <w:t>U</w:t>
      </w:r>
      <w:r w:rsidRPr="00373F67">
        <w:rPr>
          <w:rFonts w:cs="Arial"/>
          <w:color w:val="000000" w:themeColor="text1"/>
          <w:sz w:val="22"/>
          <w:szCs w:val="22"/>
        </w:rPr>
        <w:t>sluge smještaja i ishrane (2,1% na nivou Glavnog grada naspram 11% na nivou Crne Gore).</w:t>
      </w:r>
    </w:p>
    <w:p w:rsidR="00A6124E" w:rsidRDefault="00A6124E" w:rsidP="00A6124E">
      <w:pPr>
        <w:spacing w:line="276" w:lineRule="auto"/>
        <w:jc w:val="both"/>
        <w:rPr>
          <w:rFonts w:cs="Arial"/>
          <w:color w:val="000000" w:themeColor="text1"/>
          <w:sz w:val="22"/>
          <w:szCs w:val="22"/>
        </w:rPr>
      </w:pPr>
    </w:p>
    <w:p w:rsidR="006A18D1" w:rsidRPr="00373F67" w:rsidRDefault="00A6124E" w:rsidP="00A6124E">
      <w:pPr>
        <w:jc w:val="both"/>
        <w:rPr>
          <w:rFonts w:cs="Arial"/>
          <w:color w:val="000000" w:themeColor="text1"/>
          <w:szCs w:val="20"/>
          <w:lang w:val="bs-Latn-BA"/>
        </w:rPr>
      </w:pPr>
      <w:r w:rsidRPr="00373F67">
        <w:rPr>
          <w:rFonts w:cs="Arial"/>
          <w:color w:val="000000" w:themeColor="text1"/>
          <w:szCs w:val="20"/>
          <w:lang w:val="bs-Latn-BA"/>
        </w:rPr>
        <w:t>Grafik 4: Učešće privrednih subjekata u ukupnim prihodima u opštini, 2019. godina</w:t>
      </w:r>
    </w:p>
    <w:p w:rsidR="00A6124E" w:rsidRDefault="00A6124E" w:rsidP="00A6124E">
      <w:pPr>
        <w:jc w:val="center"/>
        <w:rPr>
          <w:noProof/>
          <w:lang w:val="en-US"/>
        </w:rPr>
      </w:pPr>
    </w:p>
    <w:p w:rsidR="00C7285E" w:rsidRPr="00373F67" w:rsidRDefault="00C7285E" w:rsidP="00A6124E">
      <w:pPr>
        <w:jc w:val="center"/>
        <w:rPr>
          <w:rFonts w:cs="Arial"/>
          <w:i/>
          <w:iCs/>
          <w:color w:val="000000" w:themeColor="text1"/>
          <w:sz w:val="22"/>
          <w:szCs w:val="22"/>
          <w:lang w:val="bs-Latn-BA"/>
        </w:rPr>
      </w:pPr>
      <w:r w:rsidRPr="00C7285E">
        <w:rPr>
          <w:noProof/>
          <w:lang w:val="en-US"/>
        </w:rPr>
        <w:drawing>
          <wp:inline distT="0" distB="0" distL="0" distR="0">
            <wp:extent cx="5247699" cy="3045417"/>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254109" cy="3049137"/>
                    </a:xfrm>
                    <a:prstGeom prst="rect">
                      <a:avLst/>
                    </a:prstGeom>
                  </pic:spPr>
                </pic:pic>
              </a:graphicData>
            </a:graphic>
          </wp:inline>
        </w:drawing>
      </w:r>
    </w:p>
    <w:p w:rsidR="00A6124E" w:rsidRPr="00373F67" w:rsidRDefault="004436ED" w:rsidP="00A6124E">
      <w:pPr>
        <w:jc w:val="right"/>
        <w:rPr>
          <w:i/>
          <w:iCs/>
          <w:sz w:val="18"/>
          <w:lang w:val="bs-Latn-BA"/>
        </w:rPr>
      </w:pPr>
      <w:r>
        <w:rPr>
          <w:i/>
          <w:iCs/>
          <w:sz w:val="18"/>
          <w:lang w:val="bs-Latn-BA"/>
        </w:rPr>
        <w:t>Izvor: Crnogorska privreda 2020</w:t>
      </w:r>
      <w:r w:rsidR="00A6124E" w:rsidRPr="00373F67">
        <w:rPr>
          <w:i/>
          <w:iCs/>
          <w:sz w:val="18"/>
          <w:lang w:val="bs-Latn-BA"/>
        </w:rPr>
        <w:t>, Privredna komora Crne Gore</w:t>
      </w:r>
    </w:p>
    <w:p w:rsidR="00A6124E" w:rsidRPr="007909E6" w:rsidRDefault="00A6124E" w:rsidP="00587108">
      <w:pPr>
        <w:pStyle w:val="Heading3"/>
      </w:pPr>
      <w:r w:rsidRPr="007909E6">
        <w:lastRenderedPageBreak/>
        <w:t>2.3.3 Turizam</w:t>
      </w:r>
    </w:p>
    <w:p w:rsidR="00A6124E" w:rsidRPr="00373F67" w:rsidRDefault="00A6124E" w:rsidP="005E3980">
      <w:pPr>
        <w:jc w:val="both"/>
        <w:rPr>
          <w:sz w:val="22"/>
          <w:szCs w:val="22"/>
          <w:lang w:val="bs-Latn-BA"/>
        </w:rPr>
      </w:pPr>
    </w:p>
    <w:p w:rsidR="00A6124E" w:rsidRPr="00373F67" w:rsidRDefault="00A6124E" w:rsidP="005E3980">
      <w:pPr>
        <w:jc w:val="both"/>
        <w:rPr>
          <w:sz w:val="22"/>
          <w:szCs w:val="22"/>
          <w:lang w:val="bs-Latn-BA"/>
        </w:rPr>
      </w:pPr>
      <w:r w:rsidRPr="00373F67">
        <w:rPr>
          <w:sz w:val="22"/>
          <w:szCs w:val="22"/>
          <w:lang w:val="bs-Latn-BA"/>
        </w:rPr>
        <w:t xml:space="preserve">Za razliku od većine opština u Crnoj Gori kod kojih turizam čini osnovu privrednog razvoja, to nije slučaj sa Glavnim gradom, </w:t>
      </w:r>
      <w:r w:rsidR="00860D03">
        <w:rPr>
          <w:sz w:val="22"/>
          <w:szCs w:val="22"/>
          <w:lang w:val="bs-Latn-BA"/>
        </w:rPr>
        <w:t xml:space="preserve">budući </w:t>
      </w:r>
      <w:r w:rsidRPr="00373F67">
        <w:rPr>
          <w:sz w:val="22"/>
          <w:szCs w:val="22"/>
          <w:lang w:val="bs-Latn-BA"/>
        </w:rPr>
        <w:t>da ima diversifikovaniju privredu. Ipak, sama pozicija Podgorice kao privrednog, administrativnog, kulturnog, saobraćajnog i akademskog centra utiče</w:t>
      </w:r>
      <w:r w:rsidR="00860D03">
        <w:rPr>
          <w:sz w:val="22"/>
          <w:szCs w:val="22"/>
          <w:lang w:val="bs-Latn-BA"/>
        </w:rPr>
        <w:t xml:space="preserve"> na to</w:t>
      </w:r>
      <w:r w:rsidRPr="00373F67">
        <w:rPr>
          <w:sz w:val="22"/>
          <w:szCs w:val="22"/>
          <w:lang w:val="bs-Latn-BA"/>
        </w:rPr>
        <w:t xml:space="preserve"> da, za razliku od drugih opština, turiza</w:t>
      </w:r>
      <w:r w:rsidR="006A18D1">
        <w:rPr>
          <w:sz w:val="22"/>
          <w:szCs w:val="22"/>
          <w:lang w:val="bs-Latn-BA"/>
        </w:rPr>
        <w:t>m</w:t>
      </w:r>
      <w:r w:rsidRPr="00373F67">
        <w:rPr>
          <w:sz w:val="22"/>
          <w:szCs w:val="22"/>
          <w:lang w:val="bs-Latn-BA"/>
        </w:rPr>
        <w:t xml:space="preserve"> nema samo sezonski karakter, a glavni turisti u Glavnom gradu su uglavnom poslovni i tranzitni. </w:t>
      </w:r>
    </w:p>
    <w:p w:rsidR="00A6124E" w:rsidRPr="00373F67" w:rsidRDefault="00A6124E" w:rsidP="005E3980">
      <w:pPr>
        <w:jc w:val="both"/>
        <w:rPr>
          <w:sz w:val="22"/>
          <w:szCs w:val="22"/>
          <w:lang w:val="bs-Latn-BA"/>
        </w:rPr>
      </w:pPr>
    </w:p>
    <w:p w:rsidR="00A6124E" w:rsidRPr="00373F67" w:rsidRDefault="00A6124E" w:rsidP="005E3980">
      <w:pPr>
        <w:jc w:val="both"/>
        <w:rPr>
          <w:sz w:val="22"/>
          <w:szCs w:val="22"/>
          <w:lang w:val="bs-Latn-BA"/>
        </w:rPr>
      </w:pPr>
      <w:r w:rsidRPr="00373F67">
        <w:rPr>
          <w:sz w:val="22"/>
          <w:szCs w:val="22"/>
          <w:lang w:val="bs-Latn-BA"/>
        </w:rPr>
        <w:t>Podaci o broju dolazaka i noćenju turista ukazuju na rastući trend. U odnosu na 2014. godinu, ukupan broj dolazaka turista je u 2019. godini bio 2,63 puta veći (rast od 163%), dok je broj noćenja turista bio 2,42 puta veći (rast od 142%). Prema podacima iz 2019. godine, u Podgorici se realizuje oko 7% ukupnog broja dolazaka i oko 2,1% ukupnog broja noćenja u Crnoj Gori.</w:t>
      </w:r>
    </w:p>
    <w:p w:rsidR="00A6124E" w:rsidRPr="00373F67" w:rsidRDefault="00A6124E" w:rsidP="005E3980">
      <w:pPr>
        <w:jc w:val="both"/>
        <w:rPr>
          <w:rFonts w:cs="Arial"/>
          <w:i/>
          <w:iCs/>
          <w:color w:val="000000" w:themeColor="text1"/>
          <w:szCs w:val="20"/>
          <w:lang w:val="bs-Latn-BA"/>
        </w:rPr>
      </w:pPr>
    </w:p>
    <w:p w:rsidR="00A6124E" w:rsidRPr="00373F67" w:rsidRDefault="00A6124E" w:rsidP="005E3980">
      <w:pPr>
        <w:jc w:val="both"/>
        <w:rPr>
          <w:rFonts w:cs="Arial"/>
          <w:color w:val="000000" w:themeColor="text1"/>
          <w:szCs w:val="20"/>
          <w:lang w:val="bs-Latn-BA"/>
        </w:rPr>
      </w:pPr>
      <w:r w:rsidRPr="00373F67">
        <w:rPr>
          <w:rFonts w:cs="Arial"/>
          <w:color w:val="000000" w:themeColor="text1"/>
          <w:szCs w:val="20"/>
          <w:lang w:val="bs-Latn-BA"/>
        </w:rPr>
        <w:t>Grafik 8: Dolasci i noćenja turista u Podgorici, 2014-2019</w:t>
      </w:r>
    </w:p>
    <w:p w:rsidR="00A6124E" w:rsidRPr="00373F67" w:rsidRDefault="00A6124E" w:rsidP="005E3980">
      <w:pPr>
        <w:jc w:val="both"/>
        <w:rPr>
          <w:rFonts w:cs="Arial"/>
          <w:color w:val="000000" w:themeColor="text1"/>
          <w:szCs w:val="20"/>
          <w:lang w:val="bs-Latn-BA"/>
        </w:rPr>
      </w:pPr>
    </w:p>
    <w:tbl>
      <w:tblPr>
        <w:tblStyle w:val="PlainTable21"/>
        <w:tblW w:w="4017" w:type="pct"/>
        <w:jc w:val="center"/>
        <w:tblLook w:val="04A0"/>
      </w:tblPr>
      <w:tblGrid>
        <w:gridCol w:w="2410"/>
        <w:gridCol w:w="2410"/>
        <w:gridCol w:w="2778"/>
      </w:tblGrid>
      <w:tr w:rsidR="00A6124E" w:rsidRPr="00373F67" w:rsidTr="00AA426D">
        <w:trPr>
          <w:cnfStyle w:val="100000000000"/>
          <w:trHeight w:val="266"/>
          <w:jc w:val="center"/>
        </w:trPr>
        <w:tc>
          <w:tcPr>
            <w:cnfStyle w:val="001000000000"/>
            <w:tcW w:w="1586" w:type="pct"/>
            <w:shd w:val="clear" w:color="auto" w:fill="FFD966" w:themeFill="accent4" w:themeFillTint="99"/>
            <w:noWrap/>
            <w:hideMark/>
          </w:tcPr>
          <w:p w:rsidR="00A6124E" w:rsidRPr="00767812" w:rsidRDefault="00A6124E" w:rsidP="005E3980">
            <w:pPr>
              <w:jc w:val="center"/>
              <w:rPr>
                <w:rFonts w:eastAsia="Times New Roman" w:cs="Calibri"/>
                <w:b w:val="0"/>
                <w:bCs w:val="0"/>
                <w:color w:val="000000"/>
                <w:sz w:val="18"/>
                <w:lang w:val="bs-Latn-BA"/>
              </w:rPr>
            </w:pPr>
            <w:r w:rsidRPr="00767812">
              <w:rPr>
                <w:rFonts w:eastAsia="Times New Roman" w:cs="Calibri"/>
                <w:b w:val="0"/>
                <w:bCs w:val="0"/>
                <w:color w:val="000000"/>
                <w:sz w:val="18"/>
                <w:lang w:val="bs-Latn-BA"/>
              </w:rPr>
              <w:t>Godina</w:t>
            </w:r>
          </w:p>
        </w:tc>
        <w:tc>
          <w:tcPr>
            <w:tcW w:w="1586" w:type="pct"/>
            <w:shd w:val="clear" w:color="auto" w:fill="FFD966" w:themeFill="accent4" w:themeFillTint="99"/>
            <w:noWrap/>
            <w:hideMark/>
          </w:tcPr>
          <w:p w:rsidR="00A6124E" w:rsidRPr="00767812" w:rsidRDefault="00A6124E" w:rsidP="005E3980">
            <w:pPr>
              <w:jc w:val="center"/>
              <w:cnfStyle w:val="100000000000"/>
              <w:rPr>
                <w:rFonts w:eastAsia="Times New Roman" w:cs="Calibri"/>
                <w:b w:val="0"/>
                <w:bCs w:val="0"/>
                <w:color w:val="000000"/>
                <w:sz w:val="18"/>
                <w:lang w:val="bs-Latn-BA"/>
              </w:rPr>
            </w:pPr>
            <w:r w:rsidRPr="00767812">
              <w:rPr>
                <w:rFonts w:eastAsia="Times New Roman" w:cs="Calibri"/>
                <w:b w:val="0"/>
                <w:bCs w:val="0"/>
                <w:color w:val="000000"/>
                <w:sz w:val="18"/>
                <w:lang w:val="bs-Latn-BA"/>
              </w:rPr>
              <w:t>Dolasci turista</w:t>
            </w:r>
          </w:p>
        </w:tc>
        <w:tc>
          <w:tcPr>
            <w:tcW w:w="1828" w:type="pct"/>
            <w:shd w:val="clear" w:color="auto" w:fill="FFD966" w:themeFill="accent4" w:themeFillTint="99"/>
            <w:noWrap/>
            <w:hideMark/>
          </w:tcPr>
          <w:p w:rsidR="00A6124E" w:rsidRPr="00767812" w:rsidRDefault="00A6124E" w:rsidP="005E3980">
            <w:pPr>
              <w:jc w:val="center"/>
              <w:cnfStyle w:val="100000000000"/>
              <w:rPr>
                <w:rFonts w:eastAsia="Times New Roman" w:cs="Calibri"/>
                <w:b w:val="0"/>
                <w:bCs w:val="0"/>
                <w:color w:val="000000"/>
                <w:sz w:val="18"/>
                <w:lang w:val="bs-Latn-BA"/>
              </w:rPr>
            </w:pPr>
            <w:r w:rsidRPr="00767812">
              <w:rPr>
                <w:rFonts w:eastAsia="Times New Roman" w:cs="Calibri"/>
                <w:b w:val="0"/>
                <w:bCs w:val="0"/>
                <w:color w:val="000000"/>
                <w:sz w:val="18"/>
                <w:lang w:val="bs-Latn-BA"/>
              </w:rPr>
              <w:t>Noćenja turista</w:t>
            </w:r>
          </w:p>
        </w:tc>
      </w:tr>
      <w:tr w:rsidR="00A6124E" w:rsidRPr="00373F67" w:rsidTr="00A132D8">
        <w:trPr>
          <w:cnfStyle w:val="000000100000"/>
          <w:trHeight w:val="253"/>
          <w:jc w:val="center"/>
        </w:trPr>
        <w:tc>
          <w:tcPr>
            <w:cnfStyle w:val="001000000000"/>
            <w:tcW w:w="1586" w:type="pct"/>
            <w:noWrap/>
            <w:hideMark/>
          </w:tcPr>
          <w:p w:rsidR="00A6124E" w:rsidRPr="00373F67" w:rsidRDefault="00A6124E" w:rsidP="005E3980">
            <w:pPr>
              <w:jc w:val="center"/>
              <w:rPr>
                <w:rFonts w:eastAsia="Times New Roman" w:cs="Calibri"/>
                <w:b w:val="0"/>
                <w:bCs w:val="0"/>
                <w:color w:val="000000"/>
                <w:sz w:val="18"/>
                <w:lang w:val="bs-Latn-BA"/>
              </w:rPr>
            </w:pPr>
            <w:r w:rsidRPr="00373F67">
              <w:rPr>
                <w:rFonts w:eastAsia="Times New Roman" w:cs="Calibri"/>
                <w:b w:val="0"/>
                <w:bCs w:val="0"/>
                <w:color w:val="000000"/>
                <w:sz w:val="18"/>
                <w:lang w:val="bs-Latn-BA"/>
              </w:rPr>
              <w:t>2014</w:t>
            </w:r>
            <w:r w:rsidR="009D1B26">
              <w:rPr>
                <w:rFonts w:eastAsia="Times New Roman" w:cs="Calibri"/>
                <w:b w:val="0"/>
                <w:bCs w:val="0"/>
                <w:color w:val="000000"/>
                <w:sz w:val="18"/>
                <w:lang w:val="bs-Latn-BA"/>
              </w:rPr>
              <w:t>.</w:t>
            </w:r>
          </w:p>
        </w:tc>
        <w:tc>
          <w:tcPr>
            <w:tcW w:w="1586" w:type="pct"/>
            <w:noWrap/>
            <w:hideMark/>
          </w:tcPr>
          <w:p w:rsidR="00A6124E" w:rsidRPr="00373F67" w:rsidRDefault="00A6124E" w:rsidP="005E3980">
            <w:pPr>
              <w:jc w:val="center"/>
              <w:cnfStyle w:val="000000100000"/>
              <w:rPr>
                <w:rFonts w:eastAsia="Times New Roman" w:cs="Calibri"/>
                <w:color w:val="000000"/>
                <w:sz w:val="18"/>
                <w:lang w:val="bs-Latn-BA"/>
              </w:rPr>
            </w:pPr>
            <w:r w:rsidRPr="00373F67">
              <w:rPr>
                <w:rFonts w:eastAsia="Times New Roman" w:cs="Calibri"/>
                <w:color w:val="000000"/>
                <w:sz w:val="18"/>
                <w:lang w:val="bs-Latn-BA"/>
              </w:rPr>
              <w:t>70.692</w:t>
            </w:r>
          </w:p>
        </w:tc>
        <w:tc>
          <w:tcPr>
            <w:tcW w:w="1828" w:type="pct"/>
            <w:noWrap/>
            <w:hideMark/>
          </w:tcPr>
          <w:p w:rsidR="00A6124E" w:rsidRPr="00373F67" w:rsidRDefault="00A6124E" w:rsidP="005E3980">
            <w:pPr>
              <w:jc w:val="center"/>
              <w:cnfStyle w:val="000000100000"/>
              <w:rPr>
                <w:rFonts w:eastAsia="Times New Roman" w:cs="Calibri"/>
                <w:color w:val="000000"/>
                <w:sz w:val="18"/>
                <w:lang w:val="bs-Latn-BA"/>
              </w:rPr>
            </w:pPr>
            <w:r w:rsidRPr="00373F67">
              <w:rPr>
                <w:rFonts w:eastAsia="Times New Roman" w:cs="Calibri"/>
                <w:color w:val="000000"/>
                <w:sz w:val="18"/>
                <w:lang w:val="bs-Latn-BA"/>
              </w:rPr>
              <w:t>128.115</w:t>
            </w:r>
          </w:p>
        </w:tc>
      </w:tr>
      <w:tr w:rsidR="00A6124E" w:rsidRPr="00373F67" w:rsidTr="00A132D8">
        <w:trPr>
          <w:trHeight w:val="253"/>
          <w:jc w:val="center"/>
        </w:trPr>
        <w:tc>
          <w:tcPr>
            <w:cnfStyle w:val="001000000000"/>
            <w:tcW w:w="1586" w:type="pct"/>
            <w:noWrap/>
            <w:hideMark/>
          </w:tcPr>
          <w:p w:rsidR="00A6124E" w:rsidRPr="00373F67" w:rsidRDefault="00A6124E" w:rsidP="005E3980">
            <w:pPr>
              <w:jc w:val="center"/>
              <w:rPr>
                <w:rFonts w:eastAsia="Times New Roman" w:cs="Calibri"/>
                <w:b w:val="0"/>
                <w:bCs w:val="0"/>
                <w:color w:val="000000"/>
                <w:sz w:val="18"/>
                <w:lang w:val="bs-Latn-BA"/>
              </w:rPr>
            </w:pPr>
            <w:r w:rsidRPr="00373F67">
              <w:rPr>
                <w:rFonts w:eastAsia="Times New Roman" w:cs="Calibri"/>
                <w:b w:val="0"/>
                <w:bCs w:val="0"/>
                <w:color w:val="000000"/>
                <w:sz w:val="18"/>
                <w:lang w:val="bs-Latn-BA"/>
              </w:rPr>
              <w:t>2015</w:t>
            </w:r>
            <w:r w:rsidR="009D1B26">
              <w:rPr>
                <w:rFonts w:eastAsia="Times New Roman" w:cs="Calibri"/>
                <w:b w:val="0"/>
                <w:bCs w:val="0"/>
                <w:color w:val="000000"/>
                <w:sz w:val="18"/>
                <w:lang w:val="bs-Latn-BA"/>
              </w:rPr>
              <w:t>.</w:t>
            </w:r>
          </w:p>
        </w:tc>
        <w:tc>
          <w:tcPr>
            <w:tcW w:w="1586" w:type="pct"/>
            <w:noWrap/>
            <w:hideMark/>
          </w:tcPr>
          <w:p w:rsidR="00A6124E" w:rsidRPr="00373F67" w:rsidRDefault="00A6124E" w:rsidP="005E3980">
            <w:pPr>
              <w:jc w:val="center"/>
              <w:cnfStyle w:val="000000000000"/>
              <w:rPr>
                <w:rFonts w:eastAsia="Times New Roman" w:cs="Calibri"/>
                <w:color w:val="000000"/>
                <w:sz w:val="18"/>
                <w:lang w:val="bs-Latn-BA"/>
              </w:rPr>
            </w:pPr>
            <w:r w:rsidRPr="00373F67">
              <w:rPr>
                <w:rFonts w:eastAsia="Times New Roman" w:cs="Calibri"/>
                <w:color w:val="000000"/>
                <w:sz w:val="18"/>
                <w:lang w:val="bs-Latn-BA"/>
              </w:rPr>
              <w:t>84.078</w:t>
            </w:r>
          </w:p>
        </w:tc>
        <w:tc>
          <w:tcPr>
            <w:tcW w:w="1828" w:type="pct"/>
            <w:noWrap/>
            <w:hideMark/>
          </w:tcPr>
          <w:p w:rsidR="00A6124E" w:rsidRPr="00373F67" w:rsidRDefault="00A6124E" w:rsidP="005E3980">
            <w:pPr>
              <w:jc w:val="center"/>
              <w:cnfStyle w:val="000000000000"/>
              <w:rPr>
                <w:rFonts w:eastAsia="Times New Roman" w:cs="Calibri"/>
                <w:color w:val="000000"/>
                <w:sz w:val="18"/>
                <w:lang w:val="bs-Latn-BA"/>
              </w:rPr>
            </w:pPr>
            <w:r w:rsidRPr="00373F67">
              <w:rPr>
                <w:rFonts w:eastAsia="Times New Roman" w:cs="Calibri"/>
                <w:color w:val="000000"/>
                <w:sz w:val="18"/>
                <w:lang w:val="bs-Latn-BA"/>
              </w:rPr>
              <w:t>155.410</w:t>
            </w:r>
          </w:p>
        </w:tc>
      </w:tr>
      <w:tr w:rsidR="00A6124E" w:rsidRPr="00373F67" w:rsidTr="00A132D8">
        <w:trPr>
          <w:cnfStyle w:val="000000100000"/>
          <w:trHeight w:val="253"/>
          <w:jc w:val="center"/>
        </w:trPr>
        <w:tc>
          <w:tcPr>
            <w:cnfStyle w:val="001000000000"/>
            <w:tcW w:w="1586" w:type="pct"/>
            <w:noWrap/>
            <w:hideMark/>
          </w:tcPr>
          <w:p w:rsidR="00A6124E" w:rsidRPr="00373F67" w:rsidRDefault="00A6124E" w:rsidP="005E3980">
            <w:pPr>
              <w:jc w:val="center"/>
              <w:rPr>
                <w:rFonts w:eastAsia="Times New Roman" w:cs="Calibri"/>
                <w:b w:val="0"/>
                <w:bCs w:val="0"/>
                <w:color w:val="000000"/>
                <w:sz w:val="18"/>
                <w:lang w:val="bs-Latn-BA"/>
              </w:rPr>
            </w:pPr>
            <w:r w:rsidRPr="00373F67">
              <w:rPr>
                <w:rFonts w:eastAsia="Times New Roman" w:cs="Calibri"/>
                <w:b w:val="0"/>
                <w:bCs w:val="0"/>
                <w:color w:val="000000"/>
                <w:sz w:val="18"/>
                <w:lang w:val="bs-Latn-BA"/>
              </w:rPr>
              <w:t>2016</w:t>
            </w:r>
            <w:r w:rsidR="009D1B26">
              <w:rPr>
                <w:rFonts w:eastAsia="Times New Roman" w:cs="Calibri"/>
                <w:b w:val="0"/>
                <w:bCs w:val="0"/>
                <w:color w:val="000000"/>
                <w:sz w:val="18"/>
                <w:lang w:val="bs-Latn-BA"/>
              </w:rPr>
              <w:t>.</w:t>
            </w:r>
          </w:p>
        </w:tc>
        <w:tc>
          <w:tcPr>
            <w:tcW w:w="1586" w:type="pct"/>
            <w:noWrap/>
            <w:hideMark/>
          </w:tcPr>
          <w:p w:rsidR="00A6124E" w:rsidRPr="00373F67" w:rsidRDefault="00A6124E" w:rsidP="005E3980">
            <w:pPr>
              <w:jc w:val="center"/>
              <w:cnfStyle w:val="000000100000"/>
              <w:rPr>
                <w:rFonts w:eastAsia="Times New Roman" w:cs="Calibri"/>
                <w:color w:val="000000"/>
                <w:sz w:val="18"/>
                <w:lang w:val="bs-Latn-BA"/>
              </w:rPr>
            </w:pPr>
            <w:r w:rsidRPr="00373F67">
              <w:rPr>
                <w:rFonts w:eastAsia="Times New Roman" w:cs="Calibri"/>
                <w:color w:val="000000"/>
                <w:sz w:val="18"/>
                <w:lang w:val="bs-Latn-BA"/>
              </w:rPr>
              <w:t>97.427</w:t>
            </w:r>
          </w:p>
        </w:tc>
        <w:tc>
          <w:tcPr>
            <w:tcW w:w="1828" w:type="pct"/>
            <w:noWrap/>
            <w:hideMark/>
          </w:tcPr>
          <w:p w:rsidR="00A6124E" w:rsidRPr="00373F67" w:rsidRDefault="00A6124E" w:rsidP="005E3980">
            <w:pPr>
              <w:jc w:val="center"/>
              <w:cnfStyle w:val="000000100000"/>
              <w:rPr>
                <w:rFonts w:eastAsia="Times New Roman" w:cs="Calibri"/>
                <w:color w:val="000000"/>
                <w:sz w:val="18"/>
                <w:lang w:val="bs-Latn-BA"/>
              </w:rPr>
            </w:pPr>
            <w:r w:rsidRPr="00373F67">
              <w:rPr>
                <w:rFonts w:eastAsia="Times New Roman" w:cs="Calibri"/>
                <w:color w:val="000000"/>
                <w:sz w:val="18"/>
                <w:lang w:val="bs-Latn-BA"/>
              </w:rPr>
              <w:t>177.191</w:t>
            </w:r>
          </w:p>
        </w:tc>
      </w:tr>
      <w:tr w:rsidR="00A6124E" w:rsidRPr="00373F67" w:rsidTr="00A132D8">
        <w:trPr>
          <w:trHeight w:val="253"/>
          <w:jc w:val="center"/>
        </w:trPr>
        <w:tc>
          <w:tcPr>
            <w:cnfStyle w:val="001000000000"/>
            <w:tcW w:w="1586" w:type="pct"/>
            <w:noWrap/>
            <w:hideMark/>
          </w:tcPr>
          <w:p w:rsidR="00A6124E" w:rsidRPr="00373F67" w:rsidRDefault="00A6124E" w:rsidP="005E3980">
            <w:pPr>
              <w:jc w:val="center"/>
              <w:rPr>
                <w:rFonts w:eastAsia="Times New Roman" w:cs="Calibri"/>
                <w:b w:val="0"/>
                <w:bCs w:val="0"/>
                <w:color w:val="000000"/>
                <w:sz w:val="18"/>
                <w:lang w:val="bs-Latn-BA"/>
              </w:rPr>
            </w:pPr>
            <w:r w:rsidRPr="00373F67">
              <w:rPr>
                <w:rFonts w:eastAsia="Times New Roman" w:cs="Calibri"/>
                <w:b w:val="0"/>
                <w:bCs w:val="0"/>
                <w:color w:val="000000"/>
                <w:sz w:val="18"/>
                <w:lang w:val="bs-Latn-BA"/>
              </w:rPr>
              <w:t>2017</w:t>
            </w:r>
            <w:r w:rsidR="009D1B26">
              <w:rPr>
                <w:rFonts w:eastAsia="Times New Roman" w:cs="Calibri"/>
                <w:b w:val="0"/>
                <w:bCs w:val="0"/>
                <w:color w:val="000000"/>
                <w:sz w:val="18"/>
                <w:lang w:val="bs-Latn-BA"/>
              </w:rPr>
              <w:t>.</w:t>
            </w:r>
          </w:p>
        </w:tc>
        <w:tc>
          <w:tcPr>
            <w:tcW w:w="1586" w:type="pct"/>
            <w:noWrap/>
            <w:hideMark/>
          </w:tcPr>
          <w:p w:rsidR="00A6124E" w:rsidRPr="00373F67" w:rsidRDefault="00A6124E" w:rsidP="005E3980">
            <w:pPr>
              <w:jc w:val="center"/>
              <w:cnfStyle w:val="000000000000"/>
              <w:rPr>
                <w:rFonts w:eastAsia="Times New Roman" w:cs="Calibri"/>
                <w:color w:val="000000"/>
                <w:sz w:val="18"/>
                <w:lang w:val="bs-Latn-BA"/>
              </w:rPr>
            </w:pPr>
            <w:r w:rsidRPr="00373F67">
              <w:rPr>
                <w:rFonts w:eastAsia="Times New Roman" w:cs="Calibri"/>
                <w:color w:val="000000"/>
                <w:sz w:val="18"/>
                <w:lang w:val="bs-Latn-BA"/>
              </w:rPr>
              <w:t>146.195</w:t>
            </w:r>
          </w:p>
        </w:tc>
        <w:tc>
          <w:tcPr>
            <w:tcW w:w="1828" w:type="pct"/>
            <w:noWrap/>
            <w:hideMark/>
          </w:tcPr>
          <w:p w:rsidR="00A6124E" w:rsidRPr="00373F67" w:rsidRDefault="00A6124E" w:rsidP="005E3980">
            <w:pPr>
              <w:jc w:val="center"/>
              <w:cnfStyle w:val="000000000000"/>
              <w:rPr>
                <w:rFonts w:eastAsia="Times New Roman" w:cs="Calibri"/>
                <w:color w:val="000000"/>
                <w:sz w:val="18"/>
                <w:lang w:val="bs-Latn-BA"/>
              </w:rPr>
            </w:pPr>
            <w:r w:rsidRPr="00373F67">
              <w:rPr>
                <w:rFonts w:eastAsia="Times New Roman" w:cs="Calibri"/>
                <w:color w:val="000000"/>
                <w:sz w:val="18"/>
                <w:lang w:val="bs-Latn-BA"/>
              </w:rPr>
              <w:t>261.219</w:t>
            </w:r>
          </w:p>
        </w:tc>
      </w:tr>
      <w:tr w:rsidR="00A6124E" w:rsidRPr="00373F67" w:rsidTr="00A132D8">
        <w:trPr>
          <w:cnfStyle w:val="000000100000"/>
          <w:trHeight w:val="253"/>
          <w:jc w:val="center"/>
        </w:trPr>
        <w:tc>
          <w:tcPr>
            <w:cnfStyle w:val="001000000000"/>
            <w:tcW w:w="1586" w:type="pct"/>
            <w:noWrap/>
            <w:hideMark/>
          </w:tcPr>
          <w:p w:rsidR="00A6124E" w:rsidRPr="00373F67" w:rsidRDefault="00A6124E" w:rsidP="005E3980">
            <w:pPr>
              <w:jc w:val="center"/>
              <w:rPr>
                <w:rFonts w:eastAsia="Times New Roman" w:cs="Calibri"/>
                <w:b w:val="0"/>
                <w:bCs w:val="0"/>
                <w:color w:val="000000"/>
                <w:sz w:val="18"/>
                <w:lang w:val="bs-Latn-BA"/>
              </w:rPr>
            </w:pPr>
            <w:r w:rsidRPr="00373F67">
              <w:rPr>
                <w:rFonts w:eastAsia="Times New Roman" w:cs="Calibri"/>
                <w:b w:val="0"/>
                <w:bCs w:val="0"/>
                <w:color w:val="000000"/>
                <w:sz w:val="18"/>
                <w:lang w:val="bs-Latn-BA"/>
              </w:rPr>
              <w:t>2018</w:t>
            </w:r>
            <w:r w:rsidR="009D1B26">
              <w:rPr>
                <w:rFonts w:eastAsia="Times New Roman" w:cs="Calibri"/>
                <w:b w:val="0"/>
                <w:bCs w:val="0"/>
                <w:color w:val="000000"/>
                <w:sz w:val="18"/>
                <w:lang w:val="bs-Latn-BA"/>
              </w:rPr>
              <w:t>.</w:t>
            </w:r>
          </w:p>
        </w:tc>
        <w:tc>
          <w:tcPr>
            <w:tcW w:w="1586" w:type="pct"/>
            <w:noWrap/>
          </w:tcPr>
          <w:p w:rsidR="00A6124E" w:rsidRPr="00373F67" w:rsidRDefault="00A6124E" w:rsidP="005E3980">
            <w:pPr>
              <w:jc w:val="center"/>
              <w:cnfStyle w:val="000000100000"/>
              <w:rPr>
                <w:rFonts w:eastAsia="Times New Roman" w:cs="Calibri"/>
                <w:color w:val="000000"/>
                <w:sz w:val="18"/>
                <w:lang w:val="bs-Latn-BA"/>
              </w:rPr>
            </w:pPr>
            <w:r w:rsidRPr="00373F67">
              <w:rPr>
                <w:rFonts w:cs="Calibri"/>
                <w:color w:val="000000"/>
                <w:sz w:val="18"/>
                <w:lang w:val="bs-Latn-BA"/>
              </w:rPr>
              <w:t>169.890</w:t>
            </w:r>
          </w:p>
        </w:tc>
        <w:tc>
          <w:tcPr>
            <w:tcW w:w="1828" w:type="pct"/>
            <w:noWrap/>
          </w:tcPr>
          <w:p w:rsidR="00A6124E" w:rsidRPr="00373F67" w:rsidRDefault="00A6124E" w:rsidP="005E3980">
            <w:pPr>
              <w:jc w:val="center"/>
              <w:cnfStyle w:val="000000100000"/>
              <w:rPr>
                <w:rFonts w:eastAsia="Times New Roman" w:cs="Calibri"/>
                <w:color w:val="000000"/>
                <w:sz w:val="18"/>
                <w:lang w:val="bs-Latn-BA"/>
              </w:rPr>
            </w:pPr>
            <w:r w:rsidRPr="00373F67">
              <w:rPr>
                <w:rFonts w:eastAsia="Times New Roman" w:cs="Calibri"/>
                <w:color w:val="000000"/>
                <w:sz w:val="18"/>
                <w:lang w:val="bs-Latn-BA"/>
              </w:rPr>
              <w:t>282.757</w:t>
            </w:r>
          </w:p>
        </w:tc>
      </w:tr>
      <w:tr w:rsidR="00A6124E" w:rsidRPr="00373F67" w:rsidTr="00A132D8">
        <w:trPr>
          <w:trHeight w:val="253"/>
          <w:jc w:val="center"/>
        </w:trPr>
        <w:tc>
          <w:tcPr>
            <w:cnfStyle w:val="001000000000"/>
            <w:tcW w:w="1586" w:type="pct"/>
            <w:noWrap/>
            <w:hideMark/>
          </w:tcPr>
          <w:p w:rsidR="00A6124E" w:rsidRPr="00373F67" w:rsidRDefault="00A6124E" w:rsidP="005E3980">
            <w:pPr>
              <w:jc w:val="center"/>
              <w:rPr>
                <w:rFonts w:eastAsia="Times New Roman" w:cs="Calibri"/>
                <w:b w:val="0"/>
                <w:bCs w:val="0"/>
                <w:color w:val="000000"/>
                <w:sz w:val="18"/>
                <w:lang w:val="bs-Latn-BA"/>
              </w:rPr>
            </w:pPr>
            <w:r w:rsidRPr="00373F67">
              <w:rPr>
                <w:rFonts w:eastAsia="Times New Roman" w:cs="Calibri"/>
                <w:b w:val="0"/>
                <w:bCs w:val="0"/>
                <w:color w:val="000000"/>
                <w:sz w:val="18"/>
                <w:lang w:val="bs-Latn-BA"/>
              </w:rPr>
              <w:t>2019</w:t>
            </w:r>
            <w:r w:rsidR="009D1B26">
              <w:rPr>
                <w:rFonts w:eastAsia="Times New Roman" w:cs="Calibri"/>
                <w:b w:val="0"/>
                <w:bCs w:val="0"/>
                <w:color w:val="000000"/>
                <w:sz w:val="18"/>
                <w:lang w:val="bs-Latn-BA"/>
              </w:rPr>
              <w:t>.</w:t>
            </w:r>
          </w:p>
        </w:tc>
        <w:tc>
          <w:tcPr>
            <w:tcW w:w="1586" w:type="pct"/>
            <w:noWrap/>
            <w:hideMark/>
          </w:tcPr>
          <w:p w:rsidR="00A6124E" w:rsidRPr="00373F67" w:rsidRDefault="00A6124E" w:rsidP="005E3980">
            <w:pPr>
              <w:jc w:val="center"/>
              <w:cnfStyle w:val="000000000000"/>
              <w:rPr>
                <w:rFonts w:eastAsia="Times New Roman" w:cs="Arial"/>
                <w:color w:val="000000"/>
                <w:sz w:val="18"/>
                <w:lang w:val="bs-Latn-BA"/>
              </w:rPr>
            </w:pPr>
            <w:r w:rsidRPr="00373F67">
              <w:rPr>
                <w:rFonts w:eastAsia="Times New Roman" w:cs="Arial"/>
                <w:color w:val="000000"/>
                <w:sz w:val="18"/>
                <w:lang w:val="bs-Latn-BA"/>
              </w:rPr>
              <w:t>186.207</w:t>
            </w:r>
          </w:p>
        </w:tc>
        <w:tc>
          <w:tcPr>
            <w:tcW w:w="1828" w:type="pct"/>
            <w:noWrap/>
            <w:hideMark/>
          </w:tcPr>
          <w:p w:rsidR="00A6124E" w:rsidRPr="00373F67" w:rsidRDefault="00A6124E" w:rsidP="005E3980">
            <w:pPr>
              <w:jc w:val="center"/>
              <w:cnfStyle w:val="000000000000"/>
              <w:rPr>
                <w:rFonts w:eastAsia="Times New Roman" w:cs="Arial"/>
                <w:color w:val="000000"/>
                <w:sz w:val="18"/>
                <w:lang w:val="bs-Latn-BA"/>
              </w:rPr>
            </w:pPr>
            <w:r w:rsidRPr="00373F67">
              <w:rPr>
                <w:rFonts w:eastAsia="Times New Roman" w:cs="Arial"/>
                <w:color w:val="000000"/>
                <w:sz w:val="18"/>
                <w:lang w:val="bs-Latn-BA"/>
              </w:rPr>
              <w:t>310.593</w:t>
            </w:r>
          </w:p>
        </w:tc>
      </w:tr>
    </w:tbl>
    <w:p w:rsidR="00A6124E" w:rsidRPr="00373F67" w:rsidRDefault="00A6124E" w:rsidP="005E3980">
      <w:pPr>
        <w:ind w:left="7080"/>
        <w:jc w:val="both"/>
        <w:rPr>
          <w:rFonts w:cs="Arial"/>
          <w:i/>
          <w:iCs/>
          <w:sz w:val="18"/>
          <w:lang w:val="bs-Latn-BA"/>
        </w:rPr>
      </w:pPr>
      <w:r w:rsidRPr="00373F67">
        <w:rPr>
          <w:rFonts w:cs="Arial"/>
          <w:i/>
          <w:iCs/>
          <w:sz w:val="18"/>
          <w:lang w:val="bs-Latn-BA"/>
        </w:rPr>
        <w:t>Izvor: MONSTAT</w:t>
      </w:r>
    </w:p>
    <w:p w:rsidR="00A6124E" w:rsidRPr="00373F67" w:rsidRDefault="00A6124E" w:rsidP="005E3980">
      <w:pPr>
        <w:jc w:val="both"/>
        <w:rPr>
          <w:lang w:val="bs-Latn-BA"/>
        </w:rPr>
      </w:pPr>
    </w:p>
    <w:p w:rsidR="00A6124E" w:rsidRPr="00373F67" w:rsidRDefault="00A6124E" w:rsidP="005E3980">
      <w:pPr>
        <w:jc w:val="both"/>
        <w:rPr>
          <w:sz w:val="22"/>
          <w:szCs w:val="22"/>
          <w:lang w:val="bs-Latn-BA"/>
        </w:rPr>
      </w:pPr>
      <w:r w:rsidRPr="00373F67">
        <w:rPr>
          <w:sz w:val="22"/>
          <w:szCs w:val="22"/>
          <w:lang w:val="bs-Latn-BA"/>
        </w:rPr>
        <w:t>Trenutni hotelski kapaciteti se šire, a kategorizacija je izvršena za većinu smještajnih objekata. Prisustvo svjetskih brendova u oblasti hotelijerstva i ugostiteljstva dodatno jača poziciju Podgorice na turističkoj mapi Crne Gore. U Podgorici pos</w:t>
      </w:r>
      <w:r w:rsidR="008C203D">
        <w:rPr>
          <w:sz w:val="22"/>
          <w:szCs w:val="22"/>
          <w:lang w:val="bs-Latn-BA"/>
        </w:rPr>
        <w:t>toje 42 hotela (tri su sa</w:t>
      </w:r>
      <w:r w:rsidRPr="008C203D">
        <w:rPr>
          <w:sz w:val="22"/>
          <w:szCs w:val="22"/>
          <w:lang w:val="bs-Latn-BA"/>
        </w:rPr>
        <w:t xml:space="preserve"> 5 zvjezdica</w:t>
      </w:r>
      <w:r w:rsidR="008C203D">
        <w:rPr>
          <w:sz w:val="22"/>
          <w:szCs w:val="22"/>
          <w:lang w:val="bs-Latn-BA"/>
        </w:rPr>
        <w:t>)</w:t>
      </w:r>
      <w:r w:rsidRPr="00373F67">
        <w:rPr>
          <w:sz w:val="22"/>
          <w:szCs w:val="22"/>
          <w:lang w:val="bs-Latn-BA"/>
        </w:rPr>
        <w:t>, a ukupni smješ</w:t>
      </w:r>
      <w:r w:rsidR="006A18D1">
        <w:rPr>
          <w:sz w:val="22"/>
          <w:szCs w:val="22"/>
          <w:lang w:val="bs-Latn-BA"/>
        </w:rPr>
        <w:t>t</w:t>
      </w:r>
      <w:r w:rsidRPr="00373F67">
        <w:rPr>
          <w:sz w:val="22"/>
          <w:szCs w:val="22"/>
          <w:lang w:val="bs-Latn-BA"/>
        </w:rPr>
        <w:t>ajni kapaciteti su 2600 ležaja</w:t>
      </w:r>
      <w:r w:rsidR="009D1B26">
        <w:rPr>
          <w:sz w:val="22"/>
          <w:szCs w:val="22"/>
          <w:lang w:val="bs-Latn-BA"/>
        </w:rPr>
        <w:t>.</w:t>
      </w:r>
      <w:r w:rsidRPr="009D1B26">
        <w:rPr>
          <w:vertAlign w:val="superscript"/>
        </w:rPr>
        <w:footnoteReference w:id="5"/>
      </w:r>
      <w:r w:rsidRPr="009D1B26">
        <w:rPr>
          <w:sz w:val="22"/>
          <w:szCs w:val="22"/>
          <w:vertAlign w:val="superscript"/>
          <w:lang w:val="bs-Latn-BA"/>
        </w:rPr>
        <w:t xml:space="preserve"> </w:t>
      </w:r>
      <w:r w:rsidR="008C203D">
        <w:rPr>
          <w:sz w:val="22"/>
          <w:szCs w:val="22"/>
          <w:lang w:val="bs-Latn-BA"/>
        </w:rPr>
        <w:t xml:space="preserve"> </w:t>
      </w:r>
    </w:p>
    <w:p w:rsidR="005E3980" w:rsidRDefault="005E3980" w:rsidP="005E3980">
      <w:pPr>
        <w:jc w:val="both"/>
        <w:rPr>
          <w:sz w:val="22"/>
          <w:szCs w:val="22"/>
          <w:lang w:val="bs-Latn-BA"/>
        </w:rPr>
      </w:pPr>
    </w:p>
    <w:p w:rsidR="00A6124E" w:rsidRPr="00373F67" w:rsidRDefault="00A6124E" w:rsidP="005E3980">
      <w:pPr>
        <w:jc w:val="both"/>
        <w:rPr>
          <w:sz w:val="22"/>
          <w:szCs w:val="22"/>
          <w:lang w:val="bs-Latn-BA"/>
        </w:rPr>
      </w:pPr>
      <w:r w:rsidRPr="00373F67">
        <w:rPr>
          <w:sz w:val="22"/>
          <w:szCs w:val="22"/>
          <w:lang w:val="bs-Latn-BA"/>
        </w:rPr>
        <w:t>Uprkos čin</w:t>
      </w:r>
      <w:r w:rsidR="006A18D1">
        <w:rPr>
          <w:sz w:val="22"/>
          <w:szCs w:val="22"/>
          <w:lang w:val="bs-Latn-BA"/>
        </w:rPr>
        <w:t>je</w:t>
      </w:r>
      <w:r w:rsidRPr="00373F67">
        <w:rPr>
          <w:sz w:val="22"/>
          <w:szCs w:val="22"/>
          <w:lang w:val="bs-Latn-BA"/>
        </w:rPr>
        <w:t xml:space="preserve">nici da je u Podgorici drugačija struktura turista u odnosu na brojne crnogorske opštine, postoji značajan potencijal za </w:t>
      </w:r>
      <w:r w:rsidR="00CE1182">
        <w:rPr>
          <w:sz w:val="22"/>
          <w:szCs w:val="22"/>
          <w:lang w:val="bs-Latn-BA"/>
        </w:rPr>
        <w:t xml:space="preserve">dalji </w:t>
      </w:r>
      <w:r w:rsidRPr="00373F67">
        <w:rPr>
          <w:sz w:val="22"/>
          <w:szCs w:val="22"/>
          <w:lang w:val="bs-Latn-BA"/>
        </w:rPr>
        <w:t>razvoj turizma i diversifikaciju turističke ponude</w:t>
      </w:r>
      <w:r w:rsidR="00CE1182">
        <w:rPr>
          <w:sz w:val="22"/>
          <w:szCs w:val="22"/>
          <w:lang w:val="bs-Latn-BA"/>
        </w:rPr>
        <w:t xml:space="preserve">, kako bi se povećao broj posjetilaca i produžio njihov boravak, tj. broj </w:t>
      </w:r>
      <w:r w:rsidR="00F940BD">
        <w:rPr>
          <w:sz w:val="22"/>
          <w:szCs w:val="22"/>
          <w:lang w:val="bs-Latn-BA"/>
        </w:rPr>
        <w:t xml:space="preserve">ostvarenih </w:t>
      </w:r>
      <w:r w:rsidR="00CE1182">
        <w:rPr>
          <w:sz w:val="22"/>
          <w:szCs w:val="22"/>
          <w:lang w:val="bs-Latn-BA"/>
        </w:rPr>
        <w:t>noćenja</w:t>
      </w:r>
      <w:r w:rsidRPr="00373F67">
        <w:rPr>
          <w:sz w:val="22"/>
          <w:szCs w:val="22"/>
          <w:lang w:val="bs-Latn-BA"/>
        </w:rPr>
        <w:t>. Tu se prije svega misli na činjenicu da Podgorica obuhvata teritoriju zaštićenih prirodnih dobara, a posebno treba istaći da obuhvata dio teritorije Nacionalnog parka „Skadarsko jezero” i Regionalnog parka „Komovi”. Pored takv</w:t>
      </w:r>
      <w:r w:rsidR="003462C3">
        <w:rPr>
          <w:sz w:val="22"/>
          <w:szCs w:val="22"/>
          <w:lang w:val="bs-Latn-BA"/>
        </w:rPr>
        <w:t>e</w:t>
      </w:r>
      <w:r w:rsidRPr="00373F67">
        <w:rPr>
          <w:sz w:val="22"/>
          <w:szCs w:val="22"/>
          <w:lang w:val="bs-Latn-BA"/>
        </w:rPr>
        <w:t xml:space="preserve"> </w:t>
      </w:r>
      <w:r w:rsidR="00FB1344">
        <w:rPr>
          <w:sz w:val="22"/>
          <w:szCs w:val="22"/>
          <w:lang w:val="bs-Latn-BA"/>
        </w:rPr>
        <w:t>turističke ponude</w:t>
      </w:r>
      <w:r w:rsidR="003462C3">
        <w:rPr>
          <w:sz w:val="22"/>
          <w:szCs w:val="22"/>
          <w:lang w:val="bs-Latn-BA"/>
        </w:rPr>
        <w:t>,</w:t>
      </w:r>
      <w:r w:rsidR="00FB1344">
        <w:rPr>
          <w:sz w:val="22"/>
          <w:szCs w:val="22"/>
          <w:lang w:val="bs-Latn-BA"/>
        </w:rPr>
        <w:t xml:space="preserve"> zasnovane na prirodnom i kulturnom nasljeđu</w:t>
      </w:r>
      <w:r w:rsidRPr="00373F67">
        <w:rPr>
          <w:sz w:val="22"/>
          <w:szCs w:val="22"/>
          <w:lang w:val="bs-Latn-BA"/>
        </w:rPr>
        <w:t xml:space="preserve">, treba raditi i na razvoju ostalih vrsta turizma, kao što je, na primjer, kongresni turizam. Za veću iskorišćenost turističkih potencijala Podgorice, neophodna je koordinisana uvezanost institucija i bolje korišćenje fondova koji su na raspolaganju (uključujući i međunarodne fondove). </w:t>
      </w:r>
    </w:p>
    <w:p w:rsidR="005E3980" w:rsidRDefault="005E3980" w:rsidP="005E3980">
      <w:pPr>
        <w:jc w:val="both"/>
        <w:rPr>
          <w:rFonts w:cs="Arial"/>
          <w:color w:val="000000" w:themeColor="text1"/>
          <w:sz w:val="22"/>
          <w:szCs w:val="22"/>
          <w:lang w:val="bs-Latn-BA"/>
        </w:rPr>
      </w:pPr>
    </w:p>
    <w:p w:rsidR="00A6124E" w:rsidRPr="007909E6" w:rsidRDefault="00A6124E" w:rsidP="007909E6">
      <w:pPr>
        <w:pStyle w:val="Heading3"/>
      </w:pPr>
      <w:r w:rsidRPr="007909E6">
        <w:t>2.3.4 Poljoprivreda</w:t>
      </w:r>
    </w:p>
    <w:p w:rsidR="00A6124E" w:rsidRPr="00373F67" w:rsidRDefault="00A6124E" w:rsidP="005E3980">
      <w:pPr>
        <w:jc w:val="both"/>
        <w:rPr>
          <w:rFonts w:cs="Arial"/>
          <w:color w:val="000000" w:themeColor="text1"/>
          <w:sz w:val="22"/>
          <w:szCs w:val="22"/>
          <w:lang w:val="bs-Latn-BA"/>
        </w:rPr>
      </w:pPr>
    </w:p>
    <w:p w:rsidR="00A6124E" w:rsidRPr="00373F67" w:rsidRDefault="00A6124E" w:rsidP="005E3980">
      <w:pPr>
        <w:jc w:val="both"/>
        <w:rPr>
          <w:rFonts w:cs="Arial"/>
          <w:color w:val="000000" w:themeColor="text1"/>
          <w:sz w:val="22"/>
          <w:szCs w:val="22"/>
          <w:lang w:val="bs-Latn-BA"/>
        </w:rPr>
      </w:pPr>
      <w:r w:rsidRPr="00373F67">
        <w:rPr>
          <w:rFonts w:cs="Arial"/>
          <w:color w:val="000000" w:themeColor="text1"/>
          <w:sz w:val="22"/>
          <w:szCs w:val="22"/>
          <w:lang w:val="bs-Latn-BA"/>
        </w:rPr>
        <w:t>Kad je riječ o poljoprivrednoj proizvodnji na teritoriji Glavnog grada, najveći dio se odnosi na povrtlarsku proizvodnju gdje najve</w:t>
      </w:r>
      <w:r w:rsidR="00F7189F">
        <w:rPr>
          <w:rFonts w:cs="Arial"/>
          <w:color w:val="000000" w:themeColor="text1"/>
          <w:sz w:val="22"/>
          <w:szCs w:val="22"/>
          <w:lang w:val="bs-Latn-BA"/>
        </w:rPr>
        <w:t>ć</w:t>
      </w:r>
      <w:r w:rsidRPr="00373F67">
        <w:rPr>
          <w:rFonts w:cs="Arial"/>
          <w:color w:val="000000" w:themeColor="text1"/>
          <w:sz w:val="22"/>
          <w:szCs w:val="22"/>
          <w:lang w:val="bs-Latn-BA"/>
        </w:rPr>
        <w:t>i udio imaju proizvodnja krompira, lubenice, dinja, paradajza i paprika, ali je evidentan prostor za ve</w:t>
      </w:r>
      <w:r w:rsidR="00F7189F">
        <w:rPr>
          <w:rFonts w:cs="Arial"/>
          <w:color w:val="000000" w:themeColor="text1"/>
          <w:sz w:val="22"/>
          <w:szCs w:val="22"/>
          <w:lang w:val="bs-Latn-BA"/>
        </w:rPr>
        <w:t>ć</w:t>
      </w:r>
      <w:r w:rsidRPr="00373F67">
        <w:rPr>
          <w:rFonts w:cs="Arial"/>
          <w:color w:val="000000" w:themeColor="text1"/>
          <w:sz w:val="22"/>
          <w:szCs w:val="22"/>
          <w:lang w:val="bs-Latn-BA"/>
        </w:rPr>
        <w:t xml:space="preserve">i obim proizvodnje jer trenutna proizvodnja još uvijek ne zadovoljava potrebe lokalnog tržišta. </w:t>
      </w:r>
      <w:r w:rsidRPr="00373F67">
        <w:rPr>
          <w:sz w:val="22"/>
          <w:szCs w:val="22"/>
        </w:rPr>
        <w:t xml:space="preserve">Prema podacima Strateškog plana razvoja Glavnog grada – Podgorice 2019 – 2024. </w:t>
      </w:r>
      <w:r w:rsidRPr="00373F67">
        <w:rPr>
          <w:rFonts w:cs="Arial"/>
          <w:color w:val="000000" w:themeColor="text1"/>
          <w:sz w:val="22"/>
          <w:szCs w:val="22"/>
          <w:lang w:val="bs-Latn-BA"/>
        </w:rPr>
        <w:t xml:space="preserve">učešće Podgorice u zasijanim površinama pod povrtlarskim kulturama u Crnoj Gori kreće se do 68,07% za lubenicu i dinju, i do 42,45% za paradajz. </w:t>
      </w:r>
      <w:r w:rsidRPr="00373F67">
        <w:rPr>
          <w:sz w:val="22"/>
          <w:szCs w:val="22"/>
          <w:lang w:val="bs-Latn-BA"/>
        </w:rPr>
        <w:t xml:space="preserve">Na području Podgorice ima preko 25 hektara površine u zaštićenom prostoru, ali značajan dio plastenika nije izrađen po standardu, što često za posljedicu ima velike štete od elementarnih nepogoda. </w:t>
      </w:r>
    </w:p>
    <w:p w:rsidR="005526BB" w:rsidRDefault="005526BB" w:rsidP="005E3980">
      <w:pPr>
        <w:jc w:val="both"/>
        <w:rPr>
          <w:sz w:val="22"/>
          <w:szCs w:val="22"/>
          <w:lang w:val="bs-Latn-BA"/>
        </w:rPr>
      </w:pPr>
    </w:p>
    <w:p w:rsidR="00A6124E" w:rsidRPr="00373F67" w:rsidRDefault="00A6124E" w:rsidP="005E3980">
      <w:pPr>
        <w:jc w:val="both"/>
        <w:rPr>
          <w:sz w:val="22"/>
          <w:szCs w:val="22"/>
          <w:lang w:val="bs-Latn-BA"/>
        </w:rPr>
      </w:pPr>
      <w:r w:rsidRPr="00373F67">
        <w:rPr>
          <w:sz w:val="22"/>
          <w:szCs w:val="22"/>
          <w:lang w:val="bs-Latn-BA"/>
        </w:rPr>
        <w:t xml:space="preserve">Značajan dio poljoprivredne proizvodnje se odnosi na proizvodnju grožđa i vina. Broj čokota vinove loze na području Podgorice iznosi preko 10 miliona. Pored nekoliko velikih proizvođača – kompanija među kojima su najznačajnije „Plantaže 13. jul” postoji i veliki broj (oko 360) </w:t>
      </w:r>
      <w:r w:rsidRPr="00373F67">
        <w:rPr>
          <w:sz w:val="22"/>
          <w:szCs w:val="22"/>
          <w:lang w:val="bs-Latn-BA"/>
        </w:rPr>
        <w:lastRenderedPageBreak/>
        <w:t xml:space="preserve">pojedinačnih proizvođača grožđa i vina. Pored određene površine pod voćnjacima, prisutna je i sadnja ljekovitog bilja. </w:t>
      </w:r>
    </w:p>
    <w:p w:rsidR="005526BB" w:rsidRDefault="005526BB" w:rsidP="005E3980">
      <w:pPr>
        <w:jc w:val="both"/>
        <w:rPr>
          <w:rFonts w:cs="Arial"/>
          <w:color w:val="000000" w:themeColor="text1"/>
          <w:sz w:val="22"/>
          <w:szCs w:val="22"/>
          <w:lang w:val="bs-Latn-BA"/>
        </w:rPr>
      </w:pPr>
    </w:p>
    <w:p w:rsidR="00A6124E" w:rsidRDefault="00A6124E" w:rsidP="005E3980">
      <w:pPr>
        <w:jc w:val="both"/>
        <w:rPr>
          <w:rFonts w:cs="Arial"/>
          <w:color w:val="000000" w:themeColor="text1"/>
          <w:sz w:val="22"/>
          <w:szCs w:val="22"/>
          <w:lang w:val="bs-Latn-BA"/>
        </w:rPr>
      </w:pPr>
      <w:r w:rsidRPr="00373F67">
        <w:rPr>
          <w:rFonts w:cs="Arial"/>
          <w:color w:val="000000" w:themeColor="text1"/>
          <w:sz w:val="22"/>
          <w:szCs w:val="22"/>
          <w:lang w:val="bs-Latn-BA"/>
        </w:rPr>
        <w:t>Ipak, imajući u vidu privrednu strukturu Glavnog grada, može se ocijeniti da poljoprivreda ne zauzima veliki značaj kao zanimanje. Prihodi od privrednih subjekata koji posluju u oblasti poljoprivrede su u 2019. godini činili svega 0,65% ukupnih prihoda svih preduzeća sa teritorije Glavnog grada Podgorice, dok je broj preduzeća koja su ostvarila te prihode činio 0,72% svih preduzeća u Podgorici. Ovo, uprkos postojanju značajnog poljoprivrednog zemljišta ukazuje na činjenicu da je poljoprivreda najčešće dopunska aktivnost na teritoriji Glavnog grada. Na neiskorišćenost poljoprivrednih potencijala ukazuje činjenica da Podgorica posjeduje najveći broj poljoprivrednih gazdinstava u Crnoj Gori – 7</w:t>
      </w:r>
      <w:r w:rsidR="009D1B26">
        <w:rPr>
          <w:rFonts w:cs="Arial"/>
          <w:color w:val="000000" w:themeColor="text1"/>
          <w:sz w:val="22"/>
          <w:szCs w:val="22"/>
          <w:lang w:val="bs-Latn-BA"/>
        </w:rPr>
        <w:t>.</w:t>
      </w:r>
      <w:r w:rsidRPr="00373F67">
        <w:rPr>
          <w:rFonts w:cs="Arial"/>
          <w:color w:val="000000" w:themeColor="text1"/>
          <w:sz w:val="22"/>
          <w:szCs w:val="22"/>
          <w:lang w:val="bs-Latn-BA"/>
        </w:rPr>
        <w:t>276 (prema podacima Popisa poljoprivrede</w:t>
      </w:r>
      <w:r w:rsidR="00DC641A">
        <w:rPr>
          <w:rFonts w:cs="Arial"/>
          <w:color w:val="000000" w:themeColor="text1"/>
          <w:sz w:val="22"/>
          <w:szCs w:val="22"/>
          <w:lang w:val="bs-Latn-BA"/>
        </w:rPr>
        <w:t>, 2010</w:t>
      </w:r>
      <w:r w:rsidRPr="00373F67">
        <w:rPr>
          <w:rFonts w:cs="Arial"/>
          <w:color w:val="000000" w:themeColor="text1"/>
          <w:sz w:val="22"/>
          <w:szCs w:val="22"/>
          <w:lang w:val="bs-Latn-BA"/>
        </w:rPr>
        <w:t xml:space="preserve">), što čini 14,9% ukupnog broja porodičnih poljoprivrednih gazdinstava u Crnoj Gori. </w:t>
      </w:r>
      <w:r w:rsidR="00C54F1E">
        <w:rPr>
          <w:rFonts w:cs="Arial"/>
          <w:color w:val="000000" w:themeColor="text1"/>
          <w:sz w:val="22"/>
          <w:szCs w:val="22"/>
          <w:lang w:val="bs-Latn-BA"/>
        </w:rPr>
        <w:t>Međutim, evidentni su</w:t>
      </w:r>
      <w:r w:rsidRPr="00373F67">
        <w:rPr>
          <w:rFonts w:cs="Arial"/>
          <w:color w:val="000000" w:themeColor="text1"/>
          <w:sz w:val="22"/>
          <w:szCs w:val="22"/>
          <w:lang w:val="bs-Latn-BA"/>
        </w:rPr>
        <w:t xml:space="preserve"> </w:t>
      </w:r>
      <w:r w:rsidR="00C54F1E" w:rsidRPr="00373F67">
        <w:rPr>
          <w:rFonts w:cs="Arial"/>
          <w:color w:val="000000" w:themeColor="text1"/>
          <w:sz w:val="22"/>
          <w:szCs w:val="22"/>
          <w:lang w:val="bs-Latn-BA"/>
        </w:rPr>
        <w:t>problem</w:t>
      </w:r>
      <w:r w:rsidR="00C54F1E">
        <w:rPr>
          <w:rFonts w:cs="Arial"/>
          <w:color w:val="000000" w:themeColor="text1"/>
          <w:sz w:val="22"/>
          <w:szCs w:val="22"/>
          <w:lang w:val="bs-Latn-BA"/>
        </w:rPr>
        <w:t>i</w:t>
      </w:r>
      <w:r w:rsidR="00C54F1E" w:rsidRPr="00373F67">
        <w:rPr>
          <w:rFonts w:cs="Arial"/>
          <w:color w:val="000000" w:themeColor="text1"/>
          <w:sz w:val="22"/>
          <w:szCs w:val="22"/>
          <w:lang w:val="bs-Latn-BA"/>
        </w:rPr>
        <w:t xml:space="preserve"> </w:t>
      </w:r>
      <w:r w:rsidRPr="00373F67">
        <w:rPr>
          <w:rFonts w:cs="Arial"/>
          <w:color w:val="000000" w:themeColor="text1"/>
          <w:sz w:val="22"/>
          <w:szCs w:val="22"/>
          <w:lang w:val="bs-Latn-BA"/>
        </w:rPr>
        <w:t xml:space="preserve">neadekvatne modernizacije i nedostatka tržišne orijentacije tih gazdinstava. </w:t>
      </w:r>
    </w:p>
    <w:p w:rsidR="005526BB" w:rsidRDefault="005526BB" w:rsidP="005E3980">
      <w:pPr>
        <w:rPr>
          <w:rFonts w:cs="Arial"/>
          <w:color w:val="000000" w:themeColor="text1"/>
          <w:szCs w:val="20"/>
          <w:lang w:val="bs-Latn-BA"/>
        </w:rPr>
      </w:pPr>
    </w:p>
    <w:p w:rsidR="00A6124E" w:rsidRDefault="00A6124E" w:rsidP="005E3980">
      <w:pPr>
        <w:rPr>
          <w:rFonts w:cs="Arial"/>
          <w:color w:val="000000" w:themeColor="text1"/>
          <w:szCs w:val="20"/>
          <w:lang w:val="bs-Latn-BA"/>
        </w:rPr>
      </w:pPr>
      <w:r w:rsidRPr="00373F67">
        <w:rPr>
          <w:rFonts w:cs="Arial"/>
          <w:color w:val="000000" w:themeColor="text1"/>
          <w:szCs w:val="20"/>
          <w:lang w:val="bs-Latn-BA"/>
        </w:rPr>
        <w:t xml:space="preserve">Tabela 9: Poljoprivredni osiguranici </w:t>
      </w:r>
    </w:p>
    <w:p w:rsidR="006A18D1" w:rsidRPr="00373F67" w:rsidRDefault="006A18D1" w:rsidP="005E3980">
      <w:pPr>
        <w:rPr>
          <w:rFonts w:cs="Arial"/>
          <w:color w:val="000000" w:themeColor="text1"/>
          <w:szCs w:val="20"/>
          <w:lang w:val="bs-Latn-BA"/>
        </w:rPr>
      </w:pPr>
    </w:p>
    <w:tbl>
      <w:tblPr>
        <w:tblStyle w:val="PlainTable21"/>
        <w:tblpPr w:leftFromText="141" w:rightFromText="141" w:vertAnchor="text" w:horzAnchor="margin" w:tblpXSpec="center" w:tblpY="96"/>
        <w:tblW w:w="6846" w:type="dxa"/>
        <w:tblLook w:val="04A0"/>
      </w:tblPr>
      <w:tblGrid>
        <w:gridCol w:w="2439"/>
        <w:gridCol w:w="1468"/>
        <w:gridCol w:w="1468"/>
        <w:gridCol w:w="1471"/>
      </w:tblGrid>
      <w:tr w:rsidR="00A6124E" w:rsidRPr="00373F67" w:rsidTr="00AA426D">
        <w:trPr>
          <w:cnfStyle w:val="100000000000"/>
          <w:trHeight w:val="350"/>
        </w:trPr>
        <w:tc>
          <w:tcPr>
            <w:cnfStyle w:val="001000000000"/>
            <w:tcW w:w="2439" w:type="dxa"/>
            <w:vMerge w:val="restart"/>
            <w:shd w:val="clear" w:color="auto" w:fill="FFD966" w:themeFill="accent4" w:themeFillTint="99"/>
            <w:noWrap/>
            <w:hideMark/>
          </w:tcPr>
          <w:p w:rsidR="00A6124E" w:rsidRPr="00373F67" w:rsidRDefault="00A6124E" w:rsidP="005E3980">
            <w:pPr>
              <w:jc w:val="center"/>
              <w:rPr>
                <w:rFonts w:eastAsia="Times New Roman" w:cs="Arial"/>
                <w:color w:val="000000"/>
                <w:sz w:val="18"/>
                <w:lang w:val="bs-Latn-BA" w:eastAsia="sl-SI"/>
              </w:rPr>
            </w:pPr>
            <w:r w:rsidRPr="00373F67">
              <w:rPr>
                <w:rFonts w:eastAsia="Times New Roman" w:cs="Arial"/>
                <w:color w:val="000000"/>
                <w:sz w:val="18"/>
                <w:lang w:val="bs-Latn-BA" w:eastAsia="sl-SI"/>
              </w:rPr>
              <w:t> </w:t>
            </w:r>
          </w:p>
        </w:tc>
        <w:tc>
          <w:tcPr>
            <w:tcW w:w="4407" w:type="dxa"/>
            <w:gridSpan w:val="3"/>
            <w:vMerge w:val="restart"/>
            <w:shd w:val="clear" w:color="auto" w:fill="FFD966" w:themeFill="accent4" w:themeFillTint="99"/>
            <w:noWrap/>
            <w:hideMark/>
          </w:tcPr>
          <w:p w:rsidR="00AA426D" w:rsidRDefault="00AA426D" w:rsidP="005E3980">
            <w:pPr>
              <w:jc w:val="center"/>
              <w:cnfStyle w:val="100000000000"/>
              <w:rPr>
                <w:rFonts w:eastAsia="Times New Roman" w:cs="Arial"/>
                <w:b w:val="0"/>
                <w:bCs w:val="0"/>
                <w:sz w:val="18"/>
                <w:lang w:val="bs-Latn-BA" w:eastAsia="sl-SI"/>
              </w:rPr>
            </w:pPr>
          </w:p>
          <w:p w:rsidR="00A6124E" w:rsidRPr="00767812" w:rsidRDefault="00A6124E" w:rsidP="005E3980">
            <w:pPr>
              <w:jc w:val="center"/>
              <w:cnfStyle w:val="100000000000"/>
              <w:rPr>
                <w:rFonts w:eastAsia="Times New Roman" w:cs="Arial"/>
                <w:b w:val="0"/>
                <w:bCs w:val="0"/>
                <w:sz w:val="18"/>
                <w:lang w:val="bs-Latn-BA" w:eastAsia="sl-SI"/>
              </w:rPr>
            </w:pPr>
            <w:r w:rsidRPr="00767812">
              <w:rPr>
                <w:rFonts w:eastAsia="Times New Roman" w:cs="Arial"/>
                <w:b w:val="0"/>
                <w:bCs w:val="0"/>
                <w:sz w:val="18"/>
                <w:lang w:val="bs-Latn-BA" w:eastAsia="sl-SI"/>
              </w:rPr>
              <w:t>Poljoprivrednici osiguranici</w:t>
            </w:r>
          </w:p>
        </w:tc>
      </w:tr>
      <w:tr w:rsidR="00A6124E" w:rsidRPr="00373F67" w:rsidTr="00AA426D">
        <w:trPr>
          <w:cnfStyle w:val="000000100000"/>
          <w:trHeight w:val="234"/>
        </w:trPr>
        <w:tc>
          <w:tcPr>
            <w:cnfStyle w:val="001000000000"/>
            <w:tcW w:w="2439" w:type="dxa"/>
            <w:vMerge/>
            <w:shd w:val="clear" w:color="auto" w:fill="FFD966" w:themeFill="accent4" w:themeFillTint="99"/>
            <w:hideMark/>
          </w:tcPr>
          <w:p w:rsidR="00A6124E" w:rsidRPr="00373F67" w:rsidRDefault="00A6124E" w:rsidP="005E3980">
            <w:pPr>
              <w:rPr>
                <w:rFonts w:eastAsia="Times New Roman" w:cs="Arial"/>
                <w:color w:val="000000"/>
                <w:sz w:val="18"/>
                <w:lang w:val="bs-Latn-BA" w:eastAsia="sl-SI"/>
              </w:rPr>
            </w:pPr>
          </w:p>
        </w:tc>
        <w:tc>
          <w:tcPr>
            <w:tcW w:w="4407" w:type="dxa"/>
            <w:gridSpan w:val="3"/>
            <w:vMerge/>
            <w:shd w:val="clear" w:color="auto" w:fill="FFD966" w:themeFill="accent4" w:themeFillTint="99"/>
            <w:hideMark/>
          </w:tcPr>
          <w:p w:rsidR="00A6124E" w:rsidRPr="00373F67" w:rsidRDefault="00A6124E" w:rsidP="005E3980">
            <w:pPr>
              <w:cnfStyle w:val="000000100000"/>
              <w:rPr>
                <w:rFonts w:eastAsia="Times New Roman" w:cs="Arial"/>
                <w:sz w:val="18"/>
                <w:lang w:val="bs-Latn-BA" w:eastAsia="sl-SI"/>
              </w:rPr>
            </w:pPr>
          </w:p>
        </w:tc>
      </w:tr>
      <w:tr w:rsidR="00A6124E" w:rsidRPr="00373F67" w:rsidTr="00AA426D">
        <w:trPr>
          <w:trHeight w:val="244"/>
        </w:trPr>
        <w:tc>
          <w:tcPr>
            <w:cnfStyle w:val="001000000000"/>
            <w:tcW w:w="2439" w:type="dxa"/>
            <w:vMerge/>
            <w:shd w:val="clear" w:color="auto" w:fill="FFD966" w:themeFill="accent4" w:themeFillTint="99"/>
            <w:hideMark/>
          </w:tcPr>
          <w:p w:rsidR="00A6124E" w:rsidRPr="00373F67" w:rsidRDefault="00A6124E" w:rsidP="005E3980">
            <w:pPr>
              <w:rPr>
                <w:rFonts w:eastAsia="Times New Roman" w:cs="Arial"/>
                <w:color w:val="000000"/>
                <w:sz w:val="18"/>
                <w:lang w:val="bs-Latn-BA" w:eastAsia="sl-SI"/>
              </w:rPr>
            </w:pPr>
          </w:p>
        </w:tc>
        <w:tc>
          <w:tcPr>
            <w:tcW w:w="1468" w:type="dxa"/>
            <w:shd w:val="clear" w:color="auto" w:fill="FFD966" w:themeFill="accent4" w:themeFillTint="99"/>
            <w:noWrap/>
            <w:hideMark/>
          </w:tcPr>
          <w:p w:rsidR="00A6124E" w:rsidRPr="00373F67" w:rsidRDefault="00A6124E" w:rsidP="005E3980">
            <w:pPr>
              <w:jc w:val="center"/>
              <w:cnfStyle w:val="000000000000"/>
              <w:rPr>
                <w:rFonts w:eastAsia="Times New Roman" w:cs="Arial"/>
                <w:sz w:val="18"/>
                <w:lang w:val="bs-Latn-BA" w:eastAsia="sl-SI"/>
              </w:rPr>
            </w:pPr>
            <w:r w:rsidRPr="00373F67">
              <w:rPr>
                <w:rFonts w:eastAsia="Times New Roman" w:cs="Arial"/>
                <w:sz w:val="18"/>
                <w:lang w:val="bs-Latn-BA" w:eastAsia="sl-SI"/>
              </w:rPr>
              <w:t>2011.</w:t>
            </w:r>
          </w:p>
        </w:tc>
        <w:tc>
          <w:tcPr>
            <w:tcW w:w="1468" w:type="dxa"/>
            <w:shd w:val="clear" w:color="auto" w:fill="FFD966" w:themeFill="accent4" w:themeFillTint="99"/>
            <w:noWrap/>
            <w:hideMark/>
          </w:tcPr>
          <w:p w:rsidR="00A6124E" w:rsidRPr="00373F67" w:rsidRDefault="00A6124E" w:rsidP="005E3980">
            <w:pPr>
              <w:jc w:val="center"/>
              <w:cnfStyle w:val="000000000000"/>
              <w:rPr>
                <w:rFonts w:eastAsia="Times New Roman" w:cs="Arial"/>
                <w:sz w:val="18"/>
                <w:lang w:val="bs-Latn-BA" w:eastAsia="sl-SI"/>
              </w:rPr>
            </w:pPr>
            <w:r w:rsidRPr="00373F67">
              <w:rPr>
                <w:rFonts w:eastAsia="Times New Roman" w:cs="Arial"/>
                <w:sz w:val="18"/>
                <w:lang w:val="bs-Latn-BA" w:eastAsia="sl-SI"/>
              </w:rPr>
              <w:t>2018.</w:t>
            </w:r>
          </w:p>
        </w:tc>
        <w:tc>
          <w:tcPr>
            <w:tcW w:w="1471" w:type="dxa"/>
            <w:shd w:val="clear" w:color="auto" w:fill="FFD966" w:themeFill="accent4" w:themeFillTint="99"/>
            <w:noWrap/>
            <w:hideMark/>
          </w:tcPr>
          <w:p w:rsidR="00A6124E" w:rsidRPr="00373F67" w:rsidRDefault="00A6124E" w:rsidP="005E3980">
            <w:pPr>
              <w:jc w:val="center"/>
              <w:cnfStyle w:val="000000000000"/>
              <w:rPr>
                <w:rFonts w:eastAsia="Times New Roman" w:cs="Arial"/>
                <w:sz w:val="18"/>
                <w:lang w:val="bs-Latn-BA" w:eastAsia="sl-SI"/>
              </w:rPr>
            </w:pPr>
            <w:r w:rsidRPr="00373F67">
              <w:rPr>
                <w:rFonts w:eastAsia="Times New Roman" w:cs="Arial"/>
                <w:sz w:val="18"/>
                <w:lang w:val="bs-Latn-BA" w:eastAsia="sl-SI"/>
              </w:rPr>
              <w:t>2019.</w:t>
            </w:r>
          </w:p>
        </w:tc>
      </w:tr>
      <w:tr w:rsidR="00A6124E" w:rsidRPr="00373F67" w:rsidTr="00A132D8">
        <w:trPr>
          <w:cnfStyle w:val="000000100000"/>
          <w:trHeight w:val="244"/>
        </w:trPr>
        <w:tc>
          <w:tcPr>
            <w:cnfStyle w:val="001000000000"/>
            <w:tcW w:w="2439" w:type="dxa"/>
            <w:noWrap/>
            <w:hideMark/>
          </w:tcPr>
          <w:p w:rsidR="00A6124E" w:rsidRPr="00767812" w:rsidRDefault="00A6124E" w:rsidP="005E3980">
            <w:pPr>
              <w:rPr>
                <w:rFonts w:eastAsia="Times New Roman" w:cs="Arial"/>
                <w:b w:val="0"/>
                <w:bCs w:val="0"/>
                <w:color w:val="000000"/>
                <w:sz w:val="18"/>
                <w:lang w:val="bs-Latn-BA" w:eastAsia="sl-SI"/>
              </w:rPr>
            </w:pPr>
            <w:r w:rsidRPr="00767812">
              <w:rPr>
                <w:rFonts w:eastAsia="Times New Roman" w:cs="Arial"/>
                <w:b w:val="0"/>
                <w:bCs w:val="0"/>
                <w:color w:val="000000"/>
                <w:sz w:val="18"/>
                <w:lang w:val="bs-Latn-BA" w:eastAsia="sl-SI"/>
              </w:rPr>
              <w:t>Podgorica</w:t>
            </w:r>
          </w:p>
        </w:tc>
        <w:tc>
          <w:tcPr>
            <w:tcW w:w="1468" w:type="dxa"/>
            <w:noWrap/>
            <w:vAlign w:val="bottom"/>
          </w:tcPr>
          <w:p w:rsidR="00A6124E" w:rsidRPr="00373F67" w:rsidRDefault="00A6124E" w:rsidP="005E3980">
            <w:pPr>
              <w:jc w:val="center"/>
              <w:cnfStyle w:val="000000100000"/>
              <w:rPr>
                <w:rFonts w:eastAsia="Times New Roman" w:cs="Arial"/>
                <w:sz w:val="18"/>
                <w:lang w:val="bs-Latn-BA" w:eastAsia="sl-SI"/>
              </w:rPr>
            </w:pPr>
            <w:r w:rsidRPr="00373F67">
              <w:rPr>
                <w:rFonts w:cs="Calibri"/>
                <w:color w:val="000000"/>
                <w:sz w:val="18"/>
                <w:lang w:val="bs-Latn-BA"/>
              </w:rPr>
              <w:t>240</w:t>
            </w:r>
          </w:p>
        </w:tc>
        <w:tc>
          <w:tcPr>
            <w:tcW w:w="1468" w:type="dxa"/>
            <w:noWrap/>
            <w:vAlign w:val="bottom"/>
          </w:tcPr>
          <w:p w:rsidR="00A6124E" w:rsidRPr="00373F67" w:rsidRDefault="00A6124E" w:rsidP="005E3980">
            <w:pPr>
              <w:jc w:val="center"/>
              <w:cnfStyle w:val="000000100000"/>
              <w:rPr>
                <w:rFonts w:eastAsia="Times New Roman" w:cs="Arial"/>
                <w:sz w:val="18"/>
                <w:lang w:val="bs-Latn-BA" w:eastAsia="sl-SI"/>
              </w:rPr>
            </w:pPr>
            <w:r w:rsidRPr="00373F67">
              <w:rPr>
                <w:rFonts w:cs="Calibri"/>
                <w:color w:val="000000"/>
                <w:sz w:val="18"/>
                <w:lang w:val="bs-Latn-BA"/>
              </w:rPr>
              <w:t>271</w:t>
            </w:r>
          </w:p>
        </w:tc>
        <w:tc>
          <w:tcPr>
            <w:tcW w:w="1471" w:type="dxa"/>
            <w:noWrap/>
            <w:vAlign w:val="bottom"/>
          </w:tcPr>
          <w:p w:rsidR="00A6124E" w:rsidRPr="00373F67" w:rsidRDefault="00A6124E" w:rsidP="005E3980">
            <w:pPr>
              <w:jc w:val="center"/>
              <w:cnfStyle w:val="000000100000"/>
              <w:rPr>
                <w:rFonts w:eastAsia="Times New Roman" w:cs="Arial"/>
                <w:sz w:val="18"/>
                <w:lang w:val="bs-Latn-BA" w:eastAsia="sl-SI"/>
              </w:rPr>
            </w:pPr>
            <w:r w:rsidRPr="00373F67">
              <w:rPr>
                <w:rFonts w:cs="Calibri"/>
                <w:color w:val="000000"/>
                <w:sz w:val="18"/>
                <w:lang w:val="bs-Latn-BA"/>
              </w:rPr>
              <w:t>285</w:t>
            </w:r>
          </w:p>
        </w:tc>
      </w:tr>
      <w:tr w:rsidR="00A6124E" w:rsidRPr="00373F67" w:rsidTr="00A132D8">
        <w:trPr>
          <w:trHeight w:val="244"/>
        </w:trPr>
        <w:tc>
          <w:tcPr>
            <w:cnfStyle w:val="001000000000"/>
            <w:tcW w:w="2439" w:type="dxa"/>
            <w:noWrap/>
            <w:hideMark/>
          </w:tcPr>
          <w:p w:rsidR="00A6124E" w:rsidRPr="00767812" w:rsidRDefault="00A6124E" w:rsidP="005E3980">
            <w:pPr>
              <w:rPr>
                <w:rFonts w:eastAsia="Times New Roman" w:cs="Arial"/>
                <w:b w:val="0"/>
                <w:bCs w:val="0"/>
                <w:color w:val="000000"/>
                <w:sz w:val="18"/>
                <w:lang w:val="bs-Latn-BA" w:eastAsia="sl-SI"/>
              </w:rPr>
            </w:pPr>
            <w:r w:rsidRPr="00767812">
              <w:rPr>
                <w:rFonts w:eastAsia="Times New Roman" w:cs="Arial"/>
                <w:b w:val="0"/>
                <w:bCs w:val="0"/>
                <w:color w:val="000000"/>
                <w:sz w:val="18"/>
                <w:lang w:val="bs-Latn-BA" w:eastAsia="sl-SI"/>
              </w:rPr>
              <w:t xml:space="preserve">Središnji region </w:t>
            </w:r>
          </w:p>
        </w:tc>
        <w:tc>
          <w:tcPr>
            <w:tcW w:w="1468" w:type="dxa"/>
            <w:noWrap/>
            <w:vAlign w:val="bottom"/>
          </w:tcPr>
          <w:p w:rsidR="00A6124E" w:rsidRPr="00373F67" w:rsidRDefault="00A6124E" w:rsidP="005E3980">
            <w:pPr>
              <w:jc w:val="center"/>
              <w:cnfStyle w:val="000000000000"/>
              <w:rPr>
                <w:rFonts w:eastAsia="Times New Roman" w:cs="Arial"/>
                <w:sz w:val="18"/>
                <w:lang w:val="bs-Latn-BA" w:eastAsia="sl-SI"/>
              </w:rPr>
            </w:pPr>
            <w:r w:rsidRPr="00373F67">
              <w:rPr>
                <w:rFonts w:cs="Calibri"/>
                <w:iCs/>
                <w:color w:val="000000"/>
                <w:sz w:val="18"/>
                <w:lang w:val="bs-Latn-BA"/>
              </w:rPr>
              <w:t>614</w:t>
            </w:r>
          </w:p>
        </w:tc>
        <w:tc>
          <w:tcPr>
            <w:tcW w:w="1468" w:type="dxa"/>
            <w:noWrap/>
            <w:vAlign w:val="bottom"/>
          </w:tcPr>
          <w:p w:rsidR="00A6124E" w:rsidRPr="00373F67" w:rsidRDefault="00A6124E" w:rsidP="005E3980">
            <w:pPr>
              <w:jc w:val="center"/>
              <w:cnfStyle w:val="000000000000"/>
              <w:rPr>
                <w:rFonts w:eastAsia="Times New Roman" w:cs="Arial"/>
                <w:sz w:val="18"/>
                <w:lang w:val="bs-Latn-BA" w:eastAsia="sl-SI"/>
              </w:rPr>
            </w:pPr>
            <w:r w:rsidRPr="00373F67">
              <w:rPr>
                <w:rFonts w:cs="Calibri"/>
                <w:iCs/>
                <w:color w:val="000000"/>
                <w:sz w:val="18"/>
                <w:lang w:val="bs-Latn-BA"/>
              </w:rPr>
              <w:t>603</w:t>
            </w:r>
          </w:p>
        </w:tc>
        <w:tc>
          <w:tcPr>
            <w:tcW w:w="1471" w:type="dxa"/>
            <w:noWrap/>
            <w:vAlign w:val="bottom"/>
          </w:tcPr>
          <w:p w:rsidR="00A6124E" w:rsidRPr="00373F67" w:rsidRDefault="00A6124E" w:rsidP="005E3980">
            <w:pPr>
              <w:jc w:val="center"/>
              <w:cnfStyle w:val="000000000000"/>
              <w:rPr>
                <w:rFonts w:eastAsia="Times New Roman" w:cs="Arial"/>
                <w:sz w:val="18"/>
                <w:lang w:val="bs-Latn-BA" w:eastAsia="sl-SI"/>
              </w:rPr>
            </w:pPr>
            <w:r w:rsidRPr="00373F67">
              <w:rPr>
                <w:rFonts w:cs="Calibri"/>
                <w:iCs/>
                <w:color w:val="000000"/>
                <w:sz w:val="18"/>
                <w:lang w:val="bs-Latn-BA"/>
              </w:rPr>
              <w:t>625</w:t>
            </w:r>
          </w:p>
        </w:tc>
      </w:tr>
      <w:tr w:rsidR="00A6124E" w:rsidRPr="00373F67" w:rsidTr="00A132D8">
        <w:trPr>
          <w:cnfStyle w:val="000000100000"/>
          <w:trHeight w:val="244"/>
        </w:trPr>
        <w:tc>
          <w:tcPr>
            <w:cnfStyle w:val="001000000000"/>
            <w:tcW w:w="2439" w:type="dxa"/>
            <w:noWrap/>
            <w:hideMark/>
          </w:tcPr>
          <w:p w:rsidR="00A6124E" w:rsidRPr="00767812" w:rsidRDefault="00A6124E" w:rsidP="005E3980">
            <w:pPr>
              <w:rPr>
                <w:rFonts w:eastAsia="Times New Roman" w:cs="Arial"/>
                <w:b w:val="0"/>
                <w:bCs w:val="0"/>
                <w:color w:val="000000"/>
                <w:sz w:val="18"/>
                <w:lang w:val="bs-Latn-BA" w:eastAsia="sl-SI"/>
              </w:rPr>
            </w:pPr>
            <w:r w:rsidRPr="00767812">
              <w:rPr>
                <w:rFonts w:eastAsia="Times New Roman" w:cs="Arial"/>
                <w:b w:val="0"/>
                <w:bCs w:val="0"/>
                <w:color w:val="000000"/>
                <w:sz w:val="18"/>
                <w:lang w:val="bs-Latn-BA" w:eastAsia="sl-SI"/>
              </w:rPr>
              <w:t xml:space="preserve">Crna Gora </w:t>
            </w:r>
          </w:p>
        </w:tc>
        <w:tc>
          <w:tcPr>
            <w:tcW w:w="1468" w:type="dxa"/>
            <w:noWrap/>
          </w:tcPr>
          <w:p w:rsidR="00A6124E" w:rsidRPr="00373F67" w:rsidRDefault="00A6124E" w:rsidP="005E3980">
            <w:pPr>
              <w:jc w:val="center"/>
              <w:cnfStyle w:val="000000100000"/>
              <w:rPr>
                <w:rFonts w:eastAsia="Times New Roman" w:cs="Arial"/>
                <w:sz w:val="18"/>
                <w:lang w:val="bs-Latn-BA" w:eastAsia="sl-SI"/>
              </w:rPr>
            </w:pPr>
            <w:r w:rsidRPr="00373F67">
              <w:rPr>
                <w:rFonts w:eastAsia="Times New Roman" w:cs="Calibri"/>
                <w:sz w:val="18"/>
                <w:lang w:val="bs-Latn-BA" w:eastAsia="sl-SI"/>
              </w:rPr>
              <w:t>1</w:t>
            </w:r>
            <w:r w:rsidR="009D1B26">
              <w:rPr>
                <w:rFonts w:eastAsia="Times New Roman" w:cs="Calibri"/>
                <w:sz w:val="18"/>
                <w:lang w:val="bs-Latn-BA" w:eastAsia="sl-SI"/>
              </w:rPr>
              <w:t>.</w:t>
            </w:r>
            <w:r w:rsidRPr="00373F67">
              <w:rPr>
                <w:rFonts w:eastAsia="Times New Roman" w:cs="Calibri"/>
                <w:sz w:val="18"/>
                <w:lang w:val="bs-Latn-BA" w:eastAsia="sl-SI"/>
              </w:rPr>
              <w:t>480</w:t>
            </w:r>
          </w:p>
        </w:tc>
        <w:tc>
          <w:tcPr>
            <w:tcW w:w="1468" w:type="dxa"/>
            <w:noWrap/>
          </w:tcPr>
          <w:p w:rsidR="00A6124E" w:rsidRPr="00373F67" w:rsidRDefault="00A6124E" w:rsidP="005E3980">
            <w:pPr>
              <w:jc w:val="center"/>
              <w:cnfStyle w:val="000000100000"/>
              <w:rPr>
                <w:rFonts w:eastAsia="Times New Roman" w:cs="Arial"/>
                <w:sz w:val="18"/>
                <w:lang w:val="bs-Latn-BA" w:eastAsia="sl-SI"/>
              </w:rPr>
            </w:pPr>
            <w:r w:rsidRPr="00373F67">
              <w:rPr>
                <w:rFonts w:eastAsia="Times New Roman" w:cs="Calibri"/>
                <w:sz w:val="18"/>
                <w:lang w:val="bs-Latn-BA" w:eastAsia="sl-SI"/>
              </w:rPr>
              <w:t>1</w:t>
            </w:r>
            <w:r w:rsidR="009D1B26">
              <w:rPr>
                <w:rFonts w:eastAsia="Times New Roman" w:cs="Calibri"/>
                <w:sz w:val="18"/>
                <w:lang w:val="bs-Latn-BA" w:eastAsia="sl-SI"/>
              </w:rPr>
              <w:t>.</w:t>
            </w:r>
            <w:r w:rsidRPr="00373F67">
              <w:rPr>
                <w:rFonts w:eastAsia="Times New Roman" w:cs="Calibri"/>
                <w:sz w:val="18"/>
                <w:lang w:val="bs-Latn-BA" w:eastAsia="sl-SI"/>
              </w:rPr>
              <w:t>527</w:t>
            </w:r>
          </w:p>
        </w:tc>
        <w:tc>
          <w:tcPr>
            <w:tcW w:w="1471" w:type="dxa"/>
            <w:noWrap/>
          </w:tcPr>
          <w:p w:rsidR="00A6124E" w:rsidRPr="00373F67" w:rsidRDefault="00A6124E" w:rsidP="005E3980">
            <w:pPr>
              <w:jc w:val="center"/>
              <w:cnfStyle w:val="000000100000"/>
              <w:rPr>
                <w:rFonts w:eastAsia="Times New Roman" w:cs="Arial"/>
                <w:sz w:val="18"/>
                <w:lang w:val="bs-Latn-BA" w:eastAsia="sl-SI"/>
              </w:rPr>
            </w:pPr>
            <w:r w:rsidRPr="00373F67">
              <w:rPr>
                <w:rFonts w:cs="Calibri"/>
                <w:sz w:val="18"/>
                <w:lang w:val="bs-Latn-BA"/>
              </w:rPr>
              <w:t>1</w:t>
            </w:r>
            <w:r w:rsidR="009D1B26">
              <w:rPr>
                <w:rFonts w:cs="Calibri"/>
                <w:sz w:val="18"/>
                <w:lang w:val="bs-Latn-BA"/>
              </w:rPr>
              <w:t>.</w:t>
            </w:r>
            <w:r w:rsidRPr="00373F67">
              <w:rPr>
                <w:rFonts w:cs="Calibri"/>
                <w:sz w:val="18"/>
                <w:lang w:val="bs-Latn-BA"/>
              </w:rPr>
              <w:t>587</w:t>
            </w:r>
          </w:p>
        </w:tc>
      </w:tr>
    </w:tbl>
    <w:p w:rsidR="00A6124E" w:rsidRPr="00373F67" w:rsidRDefault="00A6124E" w:rsidP="005E3980">
      <w:pPr>
        <w:jc w:val="right"/>
        <w:rPr>
          <w:rFonts w:cs="Arial"/>
          <w:i/>
          <w:iCs/>
          <w:szCs w:val="20"/>
          <w:lang w:val="bs-Latn-BA"/>
        </w:rPr>
      </w:pPr>
      <w:r w:rsidRPr="00373F67">
        <w:rPr>
          <w:rFonts w:cs="Arial"/>
          <w:i/>
          <w:iCs/>
          <w:szCs w:val="20"/>
          <w:lang w:val="bs-Latn-BA"/>
        </w:rPr>
        <w:t xml:space="preserve">                            </w:t>
      </w:r>
    </w:p>
    <w:p w:rsidR="00A6124E" w:rsidRPr="00373F67" w:rsidRDefault="00A6124E" w:rsidP="005E3980">
      <w:pPr>
        <w:jc w:val="right"/>
        <w:rPr>
          <w:rFonts w:cs="Arial"/>
          <w:i/>
          <w:iCs/>
          <w:szCs w:val="20"/>
          <w:lang w:val="bs-Latn-BA"/>
        </w:rPr>
      </w:pPr>
    </w:p>
    <w:p w:rsidR="00A6124E" w:rsidRPr="00373F67" w:rsidRDefault="00A6124E" w:rsidP="005E3980">
      <w:pPr>
        <w:jc w:val="right"/>
        <w:rPr>
          <w:rFonts w:cs="Arial"/>
          <w:i/>
          <w:iCs/>
          <w:szCs w:val="20"/>
          <w:lang w:val="bs-Latn-BA"/>
        </w:rPr>
      </w:pPr>
    </w:p>
    <w:p w:rsidR="00A6124E" w:rsidRPr="00373F67" w:rsidRDefault="00A6124E" w:rsidP="005E3980">
      <w:pPr>
        <w:jc w:val="right"/>
        <w:rPr>
          <w:rFonts w:cs="Arial"/>
          <w:i/>
          <w:iCs/>
          <w:szCs w:val="20"/>
          <w:lang w:val="bs-Latn-BA"/>
        </w:rPr>
      </w:pPr>
      <w:bookmarkStart w:id="31" w:name="_Hlk56848975"/>
    </w:p>
    <w:p w:rsidR="00A6124E" w:rsidRPr="00373F67" w:rsidRDefault="00A6124E" w:rsidP="005E3980">
      <w:pPr>
        <w:jc w:val="right"/>
        <w:rPr>
          <w:rFonts w:cs="Arial"/>
          <w:i/>
          <w:iCs/>
          <w:szCs w:val="20"/>
          <w:lang w:val="bs-Latn-BA"/>
        </w:rPr>
      </w:pPr>
    </w:p>
    <w:p w:rsidR="00A6124E" w:rsidRPr="00373F67" w:rsidRDefault="00A6124E" w:rsidP="005E3980">
      <w:pPr>
        <w:jc w:val="right"/>
        <w:rPr>
          <w:rFonts w:cs="Arial"/>
          <w:i/>
          <w:iCs/>
          <w:sz w:val="18"/>
          <w:lang w:val="bs-Latn-BA"/>
        </w:rPr>
      </w:pPr>
    </w:p>
    <w:p w:rsidR="00A6124E" w:rsidRPr="00373F67" w:rsidRDefault="00A6124E" w:rsidP="005E3980">
      <w:pPr>
        <w:jc w:val="right"/>
        <w:rPr>
          <w:rFonts w:cs="Arial"/>
          <w:i/>
          <w:iCs/>
          <w:sz w:val="18"/>
          <w:lang w:val="bs-Latn-BA"/>
        </w:rPr>
      </w:pPr>
    </w:p>
    <w:p w:rsidR="00FC2D96" w:rsidRDefault="00A6124E" w:rsidP="005E3980">
      <w:pPr>
        <w:rPr>
          <w:rFonts w:cs="Arial"/>
          <w:i/>
          <w:iCs/>
          <w:sz w:val="18"/>
          <w:lang w:val="bs-Latn-BA"/>
        </w:rPr>
      </w:pPr>
      <w:r w:rsidRPr="00373F67">
        <w:rPr>
          <w:rFonts w:cs="Arial"/>
          <w:i/>
          <w:iCs/>
          <w:sz w:val="18"/>
          <w:lang w:val="bs-Latn-BA"/>
        </w:rPr>
        <w:t xml:space="preserve">                                                                                                                     </w:t>
      </w:r>
    </w:p>
    <w:p w:rsidR="00A6124E" w:rsidRPr="00373F67" w:rsidRDefault="00FC2D96" w:rsidP="005E3980">
      <w:pPr>
        <w:rPr>
          <w:rFonts w:cs="Arial"/>
          <w:i/>
          <w:iCs/>
          <w:sz w:val="18"/>
          <w:lang w:val="bs-Latn-BA"/>
        </w:rPr>
      </w:pPr>
      <w:r>
        <w:rPr>
          <w:rFonts w:cs="Arial"/>
          <w:i/>
          <w:iCs/>
          <w:sz w:val="18"/>
          <w:lang w:val="bs-Latn-BA"/>
        </w:rPr>
        <w:t xml:space="preserve">                                                                                                                          </w:t>
      </w:r>
      <w:r w:rsidR="00A6124E" w:rsidRPr="00373F67">
        <w:rPr>
          <w:rFonts w:cs="Arial"/>
          <w:i/>
          <w:iCs/>
          <w:sz w:val="18"/>
          <w:lang w:val="bs-Latn-BA"/>
        </w:rPr>
        <w:t>Izvor: MONSTAT, Mjesečni statistički pregled, br. 10 /2020</w:t>
      </w:r>
    </w:p>
    <w:bookmarkEnd w:id="31"/>
    <w:p w:rsidR="00A6124E" w:rsidRDefault="00A6124E" w:rsidP="005E3980">
      <w:pPr>
        <w:jc w:val="both"/>
        <w:rPr>
          <w:rFonts w:cs="Arial"/>
          <w:color w:val="000000" w:themeColor="text1"/>
          <w:sz w:val="22"/>
          <w:szCs w:val="22"/>
          <w:lang w:val="bs-Latn-BA"/>
        </w:rPr>
      </w:pPr>
    </w:p>
    <w:p w:rsidR="00A6124E" w:rsidRPr="00373F67" w:rsidRDefault="00A6124E" w:rsidP="005E3980">
      <w:pPr>
        <w:jc w:val="both"/>
        <w:rPr>
          <w:sz w:val="22"/>
          <w:szCs w:val="22"/>
          <w:lang w:val="bs-Latn-BA"/>
        </w:rPr>
      </w:pPr>
      <w:r w:rsidRPr="00373F67">
        <w:rPr>
          <w:rFonts w:cs="Arial"/>
          <w:color w:val="000000" w:themeColor="text1"/>
          <w:sz w:val="22"/>
          <w:szCs w:val="22"/>
          <w:lang w:val="bs-Latn-BA"/>
        </w:rPr>
        <w:t xml:space="preserve">Broj poljoprivrednih osiguranika u Podgorici je u 2019. </w:t>
      </w:r>
      <w:r w:rsidR="006A18D1">
        <w:rPr>
          <w:rFonts w:cs="Arial"/>
          <w:color w:val="000000" w:themeColor="text1"/>
          <w:sz w:val="22"/>
          <w:szCs w:val="22"/>
          <w:lang w:val="bs-Latn-BA"/>
        </w:rPr>
        <w:t>g</w:t>
      </w:r>
      <w:r w:rsidRPr="00373F67">
        <w:rPr>
          <w:rFonts w:cs="Arial"/>
          <w:color w:val="000000" w:themeColor="text1"/>
          <w:sz w:val="22"/>
          <w:szCs w:val="22"/>
          <w:lang w:val="bs-Latn-BA"/>
        </w:rPr>
        <w:t xml:space="preserve">odini iznosio 285, što je oko 18% ukupnog broja poljoprivrednih osiguranika u Crnoj Gori. Imajući u vidu slabe rezultate po pitanju učešća u ukupnim prihodima, postavlja se i pitanje stručnog profila i vještina ljudi koji se bave poljoprivrednom proizvodnjom. Iako postoje značajni </w:t>
      </w:r>
      <w:r w:rsidRPr="00373F67">
        <w:rPr>
          <w:sz w:val="22"/>
          <w:szCs w:val="22"/>
          <w:lang w:val="bs-Latn-BA"/>
        </w:rPr>
        <w:t>potencijali za organsku proizvodnju</w:t>
      </w:r>
      <w:r w:rsidRPr="00373F67">
        <w:rPr>
          <w:rStyle w:val="FootnoteReference"/>
          <w:sz w:val="22"/>
          <w:szCs w:val="22"/>
          <w:lang w:val="bs-Latn-BA"/>
        </w:rPr>
        <w:footnoteReference w:id="6"/>
      </w:r>
      <w:r w:rsidRPr="00373F67">
        <w:rPr>
          <w:sz w:val="22"/>
          <w:szCs w:val="22"/>
          <w:lang w:val="bs-Latn-BA"/>
        </w:rPr>
        <w:t xml:space="preserve"> na teritoriji Podgorice, svega trinaest proizvođača je upisano u Registar proizvođača organske poljoprivrede, od kojih samo dva imaju sertifikat za organski proizvod. </w:t>
      </w:r>
    </w:p>
    <w:p w:rsidR="00A6124E" w:rsidRPr="00373F67" w:rsidRDefault="00A6124E" w:rsidP="005E3980">
      <w:pPr>
        <w:jc w:val="both"/>
        <w:rPr>
          <w:color w:val="000000" w:themeColor="text1"/>
          <w:sz w:val="22"/>
          <w:szCs w:val="22"/>
          <w:lang w:val="bs-Latn-BA"/>
        </w:rPr>
      </w:pPr>
    </w:p>
    <w:p w:rsidR="00A6124E" w:rsidRPr="007909E6" w:rsidRDefault="00A6124E" w:rsidP="007909E6">
      <w:pPr>
        <w:pStyle w:val="Heading3"/>
      </w:pPr>
      <w:r w:rsidRPr="007909E6">
        <w:t>2.3.5 Poslovno okruženje</w:t>
      </w:r>
    </w:p>
    <w:p w:rsidR="00A6124E" w:rsidRPr="00373F67" w:rsidRDefault="00A6124E" w:rsidP="005E3980">
      <w:pPr>
        <w:jc w:val="both"/>
        <w:rPr>
          <w:bCs/>
          <w:sz w:val="22"/>
          <w:szCs w:val="22"/>
          <w:lang w:val="bs-Latn-BA"/>
        </w:rPr>
      </w:pPr>
    </w:p>
    <w:p w:rsidR="00A6124E" w:rsidRPr="00A6124E" w:rsidRDefault="00A6124E" w:rsidP="005E3980">
      <w:pPr>
        <w:jc w:val="both"/>
        <w:rPr>
          <w:bCs/>
          <w:sz w:val="22"/>
          <w:szCs w:val="22"/>
          <w:lang w:val="bs-Latn-BA"/>
        </w:rPr>
      </w:pPr>
      <w:r w:rsidRPr="00A6124E">
        <w:rPr>
          <w:bCs/>
          <w:sz w:val="22"/>
          <w:szCs w:val="22"/>
          <w:lang w:val="bs-Latn-BA"/>
        </w:rPr>
        <w:t>Poslovni ambijent i podrška unapređenju istog se mo</w:t>
      </w:r>
      <w:r w:rsidR="00C54F1E">
        <w:rPr>
          <w:bCs/>
          <w:sz w:val="22"/>
          <w:szCs w:val="22"/>
          <w:lang w:val="bs-Latn-BA"/>
        </w:rPr>
        <w:t>gu</w:t>
      </w:r>
      <w:r w:rsidRPr="00A6124E">
        <w:rPr>
          <w:bCs/>
          <w:sz w:val="22"/>
          <w:szCs w:val="22"/>
          <w:lang w:val="bs-Latn-BA"/>
        </w:rPr>
        <w:t xml:space="preserve"> ocijeniti kao pozitivn</w:t>
      </w:r>
      <w:r w:rsidR="00C54F1E">
        <w:rPr>
          <w:bCs/>
          <w:sz w:val="22"/>
          <w:szCs w:val="22"/>
          <w:lang w:val="bs-Latn-BA"/>
        </w:rPr>
        <w:t>i</w:t>
      </w:r>
      <w:r w:rsidRPr="00A6124E">
        <w:rPr>
          <w:bCs/>
          <w:sz w:val="22"/>
          <w:szCs w:val="22"/>
          <w:lang w:val="bs-Latn-BA"/>
        </w:rPr>
        <w:t xml:space="preserve"> kad je riječ o Glavnom gradu. Podrška razvoju poslovnog ambijenta i preduzetništva se ogleda kroz posebne linije u okviru budžeta Glavnog grada. Ta sredstva su tokom prethodnih godina bila namijenjena za različite podrške poljoprivrednom razvoju, stimulisanje preduzetništva, davanje kredita, direktnu podršku preduzetnicima, podršku biznis inkubatoru i sl. Tako su, prema podacima Završnog računa bud</w:t>
      </w:r>
      <w:r w:rsidR="000A7325">
        <w:rPr>
          <w:bCs/>
          <w:sz w:val="22"/>
          <w:szCs w:val="22"/>
          <w:lang w:val="bs-Latn-BA"/>
        </w:rPr>
        <w:t>ž</w:t>
      </w:r>
      <w:r w:rsidRPr="00A6124E">
        <w:rPr>
          <w:bCs/>
          <w:sz w:val="22"/>
          <w:szCs w:val="22"/>
          <w:lang w:val="bs-Latn-BA"/>
        </w:rPr>
        <w:t xml:space="preserve">eta Glavnog grada, ukupna sredstva za ove namjene u periodu 2012-2018. uvećana sa oko 270 hiljada EUR na preko 300 hiljada EUR (rast od 11,6%). </w:t>
      </w:r>
    </w:p>
    <w:p w:rsidR="005526BB" w:rsidRDefault="005526BB" w:rsidP="005E3980">
      <w:pPr>
        <w:jc w:val="both"/>
        <w:rPr>
          <w:sz w:val="22"/>
          <w:szCs w:val="22"/>
          <w:lang w:val="bs-Latn-BA"/>
        </w:rPr>
      </w:pPr>
    </w:p>
    <w:p w:rsidR="00A6124E" w:rsidRPr="00A6124E" w:rsidRDefault="00A6124E" w:rsidP="005E3980">
      <w:pPr>
        <w:jc w:val="both"/>
        <w:rPr>
          <w:sz w:val="22"/>
          <w:szCs w:val="22"/>
          <w:lang w:val="bs-Latn-BA"/>
        </w:rPr>
      </w:pPr>
      <w:r w:rsidRPr="00A6124E">
        <w:rPr>
          <w:sz w:val="22"/>
          <w:szCs w:val="22"/>
          <w:lang w:val="bs-Latn-BA"/>
        </w:rPr>
        <w:t>Sama činjenica da Podgorica predstavlja privredni i administrativni centar Crne Gore omogućava postojanje potencijala za privlačenje novih investicija. Povoljan geografski položaj za predviđene lokacije biznis zona na teritoriji Glavnog grada (uz glavne magistralne saobraćajnice koje povezuju Podgoricu sa Prim</w:t>
      </w:r>
      <w:r w:rsidR="00F7189F">
        <w:rPr>
          <w:sz w:val="22"/>
          <w:szCs w:val="22"/>
          <w:lang w:val="bs-Latn-BA"/>
        </w:rPr>
        <w:t>o</w:t>
      </w:r>
      <w:r w:rsidRPr="00A6124E">
        <w:rPr>
          <w:sz w:val="22"/>
          <w:szCs w:val="22"/>
          <w:lang w:val="bs-Latn-BA"/>
        </w:rPr>
        <w:t xml:space="preserve">rskim i Sjevernim regionom) takođe dodatno doprinosi budućem razvoju poslovne inicijative na ovoj teritoriji. Dalji rad se očekuje po pitanju smanjenja biznis barijera i usklađivanja nacionalnih i lokalnih propisa, kao i smanjenja administrativnih barijera. </w:t>
      </w:r>
    </w:p>
    <w:p w:rsidR="005526BB" w:rsidRDefault="005526BB" w:rsidP="005E3980">
      <w:pPr>
        <w:jc w:val="both"/>
        <w:rPr>
          <w:sz w:val="22"/>
          <w:szCs w:val="22"/>
          <w:lang w:val="bs-Latn-BA"/>
        </w:rPr>
      </w:pPr>
    </w:p>
    <w:p w:rsidR="00A6124E" w:rsidRPr="00A6124E" w:rsidRDefault="00A6124E" w:rsidP="005E3980">
      <w:pPr>
        <w:jc w:val="both"/>
        <w:rPr>
          <w:sz w:val="22"/>
          <w:szCs w:val="22"/>
          <w:lang w:val="bs-Latn-BA"/>
        </w:rPr>
      </w:pPr>
      <w:r w:rsidRPr="00A6124E">
        <w:rPr>
          <w:sz w:val="22"/>
          <w:szCs w:val="22"/>
          <w:lang w:val="bs-Latn-BA"/>
        </w:rPr>
        <w:lastRenderedPageBreak/>
        <w:t xml:space="preserve">Za potrebe promocije Podgorice kao povoljnog poslovnog ambijenta, redizajniran je sajt </w:t>
      </w:r>
      <w:hyperlink r:id="rId12" w:history="1">
        <w:r w:rsidRPr="00A6124E">
          <w:rPr>
            <w:rStyle w:val="Hyperlink"/>
            <w:sz w:val="22"/>
            <w:szCs w:val="22"/>
            <w:lang w:val="bs-Latn-BA"/>
          </w:rPr>
          <w:t>www.investinpodgorica.com</w:t>
        </w:r>
      </w:hyperlink>
      <w:r w:rsidRPr="00A6124E">
        <w:rPr>
          <w:sz w:val="22"/>
          <w:szCs w:val="22"/>
          <w:lang w:val="bs-Latn-BA"/>
        </w:rPr>
        <w:t>, a neki projekti, kao što je Smart City, imaju za cilj lakše upravljanje resursima u budućnosti upotrebom senzora najnovijih tehnologija. Model javno-privatnog partnerstva je još uvijek nedovoljno zastupljen, a očekuje se veće korišćenje tog modela, kako u proizvodnji, tako i u sektoru pružanja usluga</w:t>
      </w:r>
      <w:r w:rsidR="00F7189F">
        <w:rPr>
          <w:sz w:val="22"/>
          <w:szCs w:val="22"/>
          <w:lang w:val="bs-Latn-BA"/>
        </w:rPr>
        <w:t>.</w:t>
      </w:r>
      <w:r w:rsidRPr="00A6124E">
        <w:rPr>
          <w:sz w:val="22"/>
          <w:szCs w:val="22"/>
          <w:lang w:val="bs-Latn-BA"/>
        </w:rPr>
        <w:t xml:space="preserve"> Sektori koji su strateškim razvojnim dokumentom identifikovani kao atraktivni za investiranje kroz model javno-privatnog partnerstva su zdravstvo, turizam i ugostiteljstvo, biznis zone, industrija, nove tehnologije kroz koncept pametnog grada, građevinarstvo, energija, sport, poljoprivreda, proizvodnja vode i druge oblasti koje nude visok poslovni potencijal. </w:t>
      </w:r>
    </w:p>
    <w:p w:rsidR="005526BB" w:rsidRDefault="005526BB" w:rsidP="005E3980">
      <w:pPr>
        <w:jc w:val="both"/>
        <w:rPr>
          <w:sz w:val="22"/>
          <w:szCs w:val="22"/>
          <w:lang w:val="bs-Latn-BA"/>
        </w:rPr>
      </w:pPr>
    </w:p>
    <w:p w:rsidR="00A6124E" w:rsidRPr="00A6124E" w:rsidRDefault="00A6124E" w:rsidP="005E3980">
      <w:pPr>
        <w:jc w:val="both"/>
        <w:rPr>
          <w:sz w:val="22"/>
          <w:szCs w:val="22"/>
          <w:lang w:val="bs-Latn-BA"/>
        </w:rPr>
      </w:pPr>
      <w:r w:rsidRPr="00A6124E">
        <w:rPr>
          <w:sz w:val="22"/>
          <w:szCs w:val="22"/>
          <w:lang w:val="bs-Latn-BA"/>
        </w:rPr>
        <w:t>Ipak, prepoznate su i neke barijere sa kojima se poslovni ambijent Glavnog grada još uvijek suočava. Tu se prije svega misli na postojanje određenih poreza i doprinosa, a kao indirektni destimulišući faktori, prepoznati su veliki broj inspekcijskih službi i komunalni troškovi, regulacija tržišta rada, brzina i efikasnost administrativnih usluga.</w:t>
      </w:r>
      <w:r w:rsidRPr="00A6124E">
        <w:rPr>
          <w:rStyle w:val="FootnoteReference"/>
          <w:sz w:val="22"/>
          <w:szCs w:val="22"/>
          <w:lang w:val="bs-Latn-BA"/>
        </w:rPr>
        <w:footnoteReference w:id="7"/>
      </w:r>
    </w:p>
    <w:p w:rsidR="00CC1972" w:rsidRDefault="00CC1972" w:rsidP="005E3980">
      <w:pPr>
        <w:jc w:val="both"/>
        <w:rPr>
          <w:bCs/>
          <w:sz w:val="22"/>
          <w:szCs w:val="22"/>
        </w:rPr>
      </w:pPr>
    </w:p>
    <w:p w:rsidR="002C4CEB" w:rsidRPr="002C4CEB" w:rsidRDefault="002C4CEB" w:rsidP="00767812">
      <w:pPr>
        <w:pStyle w:val="Heading1"/>
        <w:numPr>
          <w:ilvl w:val="0"/>
          <w:numId w:val="6"/>
        </w:numPr>
        <w:spacing w:before="0"/>
        <w:ind w:left="284" w:hanging="284"/>
      </w:pPr>
      <w:bookmarkStart w:id="32" w:name="_Toc61289779"/>
      <w:bookmarkStart w:id="33" w:name="_Toc63099494"/>
      <w:bookmarkEnd w:id="21"/>
      <w:bookmarkEnd w:id="22"/>
      <w:bookmarkEnd w:id="23"/>
      <w:r w:rsidRPr="002C4CEB">
        <w:t>TRŽIŠTE RADA</w:t>
      </w:r>
      <w:bookmarkEnd w:id="32"/>
      <w:bookmarkEnd w:id="33"/>
      <w:r w:rsidRPr="002C4CEB">
        <w:t xml:space="preserve"> </w:t>
      </w:r>
    </w:p>
    <w:p w:rsidR="00813D12" w:rsidRDefault="00813D12" w:rsidP="005E3980">
      <w:pPr>
        <w:jc w:val="both"/>
        <w:rPr>
          <w:rFonts w:cs="Arial"/>
          <w:sz w:val="22"/>
          <w:szCs w:val="22"/>
        </w:rPr>
      </w:pPr>
    </w:p>
    <w:p w:rsidR="008F4117" w:rsidRPr="008F4117" w:rsidRDefault="008F4117" w:rsidP="005E3980">
      <w:pPr>
        <w:jc w:val="both"/>
        <w:rPr>
          <w:rFonts w:cstheme="minorBidi"/>
          <w:color w:val="000000" w:themeColor="text1"/>
          <w:sz w:val="22"/>
        </w:rPr>
      </w:pPr>
      <w:r w:rsidRPr="006A529A">
        <w:rPr>
          <w:rFonts w:cstheme="minorBidi"/>
          <w:color w:val="000000" w:themeColor="text1"/>
          <w:sz w:val="22"/>
        </w:rPr>
        <w:t>Prema kompozitnom indeksu stanja na tržištu rada koji je konstruisan za potrebe analize lokalnih tržišta rada u Crnoj Gori na osnovu deset pojedinačnih indikatora</w:t>
      </w:r>
      <w:r w:rsidRPr="006A529A">
        <w:rPr>
          <w:rStyle w:val="FootnoteReference"/>
          <w:rFonts w:cstheme="minorBidi"/>
          <w:color w:val="000000" w:themeColor="text1"/>
          <w:sz w:val="22"/>
        </w:rPr>
        <w:footnoteReference w:id="8"/>
      </w:r>
      <w:r w:rsidRPr="006A529A">
        <w:rPr>
          <w:rFonts w:cstheme="minorBidi"/>
          <w:color w:val="000000" w:themeColor="text1"/>
          <w:sz w:val="22"/>
        </w:rPr>
        <w:t xml:space="preserve">, </w:t>
      </w:r>
      <w:r>
        <w:rPr>
          <w:rFonts w:cstheme="minorBidi"/>
          <w:color w:val="000000" w:themeColor="text1"/>
          <w:sz w:val="22"/>
        </w:rPr>
        <w:t>glavni grad Podgorica je u 2011. godini bi</w:t>
      </w:r>
      <w:r w:rsidR="00DC641A">
        <w:rPr>
          <w:rFonts w:cstheme="minorBidi"/>
          <w:color w:val="000000" w:themeColor="text1"/>
          <w:sz w:val="22"/>
        </w:rPr>
        <w:t>o</w:t>
      </w:r>
      <w:r>
        <w:rPr>
          <w:rFonts w:cstheme="minorBidi"/>
          <w:color w:val="000000" w:themeColor="text1"/>
          <w:sz w:val="22"/>
        </w:rPr>
        <w:t xml:space="preserve"> na 2</w:t>
      </w:r>
      <w:r w:rsidRPr="006A529A">
        <w:rPr>
          <w:rFonts w:cstheme="minorBidi"/>
          <w:color w:val="000000" w:themeColor="text1"/>
          <w:sz w:val="22"/>
        </w:rPr>
        <w:t>. mjestu, da bi u 2018. godini pokvari</w:t>
      </w:r>
      <w:r w:rsidR="00DC641A">
        <w:rPr>
          <w:rFonts w:cstheme="minorBidi"/>
          <w:color w:val="000000" w:themeColor="text1"/>
          <w:sz w:val="22"/>
        </w:rPr>
        <w:t>o</w:t>
      </w:r>
      <w:r w:rsidRPr="006A529A">
        <w:rPr>
          <w:rFonts w:cstheme="minorBidi"/>
          <w:color w:val="000000" w:themeColor="text1"/>
          <w:sz w:val="22"/>
        </w:rPr>
        <w:t xml:space="preserve"> svoj položaj za </w:t>
      </w:r>
      <w:r>
        <w:rPr>
          <w:rFonts w:cstheme="minorBidi"/>
          <w:color w:val="000000" w:themeColor="text1"/>
          <w:sz w:val="22"/>
        </w:rPr>
        <w:t>jednu poziciji i bi</w:t>
      </w:r>
      <w:r w:rsidR="00DC641A">
        <w:rPr>
          <w:rFonts w:cstheme="minorBidi"/>
          <w:color w:val="000000" w:themeColor="text1"/>
          <w:sz w:val="22"/>
        </w:rPr>
        <w:t>o</w:t>
      </w:r>
      <w:r>
        <w:rPr>
          <w:rFonts w:cstheme="minorBidi"/>
          <w:color w:val="000000" w:themeColor="text1"/>
          <w:sz w:val="22"/>
        </w:rPr>
        <w:t xml:space="preserve"> na 3. mjestu</w:t>
      </w:r>
      <w:r w:rsidRPr="006A529A">
        <w:rPr>
          <w:rStyle w:val="FootnoteReference"/>
          <w:rFonts w:cstheme="minorBidi"/>
          <w:color w:val="000000" w:themeColor="text1"/>
          <w:sz w:val="22"/>
        </w:rPr>
        <w:footnoteReference w:id="9"/>
      </w:r>
      <w:r w:rsidRPr="006A529A">
        <w:rPr>
          <w:rFonts w:cstheme="minorBidi"/>
          <w:color w:val="000000" w:themeColor="text1"/>
          <w:sz w:val="22"/>
        </w:rPr>
        <w:t xml:space="preserve">. </w:t>
      </w:r>
      <w:r>
        <w:rPr>
          <w:rFonts w:cstheme="minorBidi"/>
          <w:color w:val="000000" w:themeColor="text1"/>
          <w:sz w:val="22"/>
        </w:rPr>
        <w:t xml:space="preserve">Posmatrano sa stanovišta prosječne ocjene, Podgorica je pogoršala vrijednost sa 4,0 na 4,4 </w:t>
      </w:r>
      <w:r w:rsidRPr="008F4117">
        <w:rPr>
          <w:rFonts w:cstheme="minorBidi"/>
          <w:color w:val="000000" w:themeColor="text1"/>
          <w:sz w:val="22"/>
        </w:rPr>
        <w:t xml:space="preserve">(manja prosječna vrijednost označava bolju poziciju). </w:t>
      </w:r>
    </w:p>
    <w:p w:rsidR="00DF52AD" w:rsidRPr="00C75D9B" w:rsidRDefault="00DF52AD" w:rsidP="005E3980">
      <w:pPr>
        <w:jc w:val="both"/>
        <w:rPr>
          <w:rFonts w:cs="Arial"/>
          <w:sz w:val="22"/>
          <w:szCs w:val="22"/>
        </w:rPr>
      </w:pPr>
    </w:p>
    <w:p w:rsidR="00DF52AD" w:rsidRDefault="00DF52AD" w:rsidP="005E3980">
      <w:pPr>
        <w:rPr>
          <w:rFonts w:eastAsiaTheme="majorEastAsia" w:cstheme="majorBidi"/>
          <w:color w:val="000000" w:themeColor="text1"/>
          <w:kern w:val="24"/>
          <w:szCs w:val="20"/>
        </w:rPr>
      </w:pPr>
      <w:r w:rsidRPr="00C75D9B">
        <w:rPr>
          <w:rFonts w:eastAsiaTheme="majorEastAsia" w:cstheme="majorBidi"/>
          <w:color w:val="000000" w:themeColor="text1"/>
          <w:kern w:val="24"/>
          <w:szCs w:val="20"/>
        </w:rPr>
        <w:t>Grafik 5: Rangiranje opština – kompozitni indikator (poređenje)</w:t>
      </w:r>
    </w:p>
    <w:p w:rsidR="00C7285E" w:rsidRPr="00C75D9B" w:rsidRDefault="00C7285E" w:rsidP="005E3980">
      <w:pPr>
        <w:rPr>
          <w:szCs w:val="20"/>
        </w:rPr>
      </w:pPr>
    </w:p>
    <w:p w:rsidR="00DF52AD" w:rsidRDefault="00C7285E" w:rsidP="005E3980">
      <w:pPr>
        <w:jc w:val="both"/>
        <w:rPr>
          <w:rFonts w:cs="Arial"/>
          <w:sz w:val="22"/>
          <w:szCs w:val="22"/>
        </w:rPr>
      </w:pPr>
      <w:r w:rsidRPr="00C7285E">
        <w:rPr>
          <w:noProof/>
          <w:lang w:val="en-US"/>
        </w:rPr>
        <w:drawing>
          <wp:inline distT="0" distB="0" distL="0" distR="0">
            <wp:extent cx="5847619" cy="2019048"/>
            <wp:effectExtent l="0" t="0" r="127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847619" cy="2019048"/>
                    </a:xfrm>
                    <a:prstGeom prst="rect">
                      <a:avLst/>
                    </a:prstGeom>
                  </pic:spPr>
                </pic:pic>
              </a:graphicData>
            </a:graphic>
          </wp:inline>
        </w:drawing>
      </w:r>
    </w:p>
    <w:p w:rsidR="00DF52AD" w:rsidRPr="00446DE2" w:rsidRDefault="00DF52AD" w:rsidP="005E3980">
      <w:pPr>
        <w:jc w:val="right"/>
        <w:rPr>
          <w:rFonts w:cs="Arial"/>
          <w:i/>
          <w:iCs/>
          <w:sz w:val="18"/>
        </w:rPr>
      </w:pPr>
      <w:bookmarkStart w:id="34" w:name="_Hlk60155469"/>
      <w:bookmarkStart w:id="35" w:name="_Hlk63784751"/>
      <w:r w:rsidRPr="00446DE2">
        <w:rPr>
          <w:rFonts w:cs="Arial"/>
          <w:i/>
          <w:iCs/>
          <w:sz w:val="18"/>
        </w:rPr>
        <w:t xml:space="preserve">Izvor: </w:t>
      </w:r>
      <w:hyperlink r:id="rId14" w:history="1">
        <w:r w:rsidRPr="00446DE2">
          <w:rPr>
            <w:rStyle w:val="Hyperlink"/>
            <w:rFonts w:cs="Arial"/>
            <w:i/>
            <w:iCs/>
            <w:sz w:val="18"/>
          </w:rPr>
          <w:t>http://eesp.me/wp-content/uploads/2020/06/analiza-lokalnih-trzista.pdf</w:t>
        </w:r>
      </w:hyperlink>
      <w:r w:rsidRPr="00446DE2">
        <w:rPr>
          <w:rFonts w:cs="Arial"/>
          <w:i/>
          <w:iCs/>
          <w:sz w:val="18"/>
        </w:rPr>
        <w:t xml:space="preserve"> </w:t>
      </w:r>
    </w:p>
    <w:bookmarkEnd w:id="34"/>
    <w:p w:rsidR="00C910FA" w:rsidRPr="00446DE2" w:rsidRDefault="00C910FA" w:rsidP="005E3980">
      <w:pPr>
        <w:jc w:val="both"/>
        <w:rPr>
          <w:rFonts w:cstheme="minorHAnsi"/>
          <w:i/>
          <w:iCs/>
          <w:color w:val="000000" w:themeColor="text1"/>
          <w:sz w:val="22"/>
          <w:szCs w:val="20"/>
        </w:rPr>
      </w:pPr>
    </w:p>
    <w:bookmarkEnd w:id="35"/>
    <w:p w:rsidR="00C2241C" w:rsidRPr="00A6124E" w:rsidRDefault="00C2241C" w:rsidP="005E3980">
      <w:pPr>
        <w:jc w:val="both"/>
        <w:rPr>
          <w:rFonts w:cs="Arial"/>
          <w:color w:val="000000" w:themeColor="text1"/>
          <w:sz w:val="22"/>
          <w:szCs w:val="22"/>
        </w:rPr>
      </w:pPr>
      <w:r w:rsidRPr="00A6124E">
        <w:rPr>
          <w:rFonts w:cs="Arial"/>
          <w:color w:val="000000" w:themeColor="text1"/>
          <w:sz w:val="22"/>
          <w:szCs w:val="22"/>
        </w:rPr>
        <w:t>U odnosu na ostale opštine u Crnoj Gori, Podgorica je gore rangirana jedino od Budve i Tivta koje su u posmatranom periodu bilježile snažan rast. Međutim, pored boljeg stanja na tržištu rada u odnosu na ostale opštine, lokalno tržište rada se suočava sa mnogim izazovima koji se odnose na nezaposlenost niskokvalifikovane i visokokvalifikovane radne snage, ali i značajn</w:t>
      </w:r>
      <w:r w:rsidR="00A6124E">
        <w:rPr>
          <w:rFonts w:cs="Arial"/>
          <w:color w:val="000000" w:themeColor="text1"/>
          <w:sz w:val="22"/>
          <w:szCs w:val="22"/>
        </w:rPr>
        <w:t>ije</w:t>
      </w:r>
      <w:r w:rsidRPr="00A6124E">
        <w:rPr>
          <w:rFonts w:cs="Arial"/>
          <w:color w:val="000000" w:themeColor="text1"/>
          <w:sz w:val="22"/>
          <w:szCs w:val="22"/>
        </w:rPr>
        <w:t xml:space="preserve"> učešće žena u ukupnom broju nezaposlenih. </w:t>
      </w:r>
    </w:p>
    <w:p w:rsidR="00C2241C" w:rsidRDefault="00C2241C" w:rsidP="005E3980">
      <w:pPr>
        <w:jc w:val="both"/>
        <w:rPr>
          <w:rFonts w:cs="Arial"/>
          <w:color w:val="000000" w:themeColor="text1"/>
          <w:sz w:val="22"/>
          <w:szCs w:val="22"/>
        </w:rPr>
      </w:pPr>
    </w:p>
    <w:p w:rsidR="00142033" w:rsidRDefault="0045461F" w:rsidP="005E3980">
      <w:pPr>
        <w:pStyle w:val="Heading2"/>
        <w:spacing w:before="0"/>
        <w:rPr>
          <w:rFonts w:cs="Arial"/>
        </w:rPr>
      </w:pPr>
      <w:bookmarkStart w:id="36" w:name="_Toc44873762"/>
      <w:bookmarkStart w:id="37" w:name="_Toc52644728"/>
      <w:bookmarkStart w:id="38" w:name="_Toc58581873"/>
      <w:bookmarkStart w:id="39" w:name="_Toc61289780"/>
      <w:bookmarkStart w:id="40" w:name="_Toc63099495"/>
      <w:r w:rsidRPr="005C4BC5">
        <w:rPr>
          <w:rFonts w:cs="Arial"/>
        </w:rPr>
        <w:lastRenderedPageBreak/>
        <w:t>3.</w:t>
      </w:r>
      <w:r w:rsidR="00BC319B" w:rsidRPr="005C4BC5">
        <w:rPr>
          <w:rFonts w:cs="Arial"/>
        </w:rPr>
        <w:t>1</w:t>
      </w:r>
      <w:r w:rsidRPr="005C4BC5">
        <w:rPr>
          <w:rFonts w:cs="Arial"/>
        </w:rPr>
        <w:t xml:space="preserve"> </w:t>
      </w:r>
      <w:r w:rsidR="00142033" w:rsidRPr="005C4BC5">
        <w:rPr>
          <w:rFonts w:cs="Arial"/>
        </w:rPr>
        <w:t>Zaposlenost i zarade</w:t>
      </w:r>
      <w:bookmarkEnd w:id="36"/>
      <w:bookmarkEnd w:id="37"/>
      <w:bookmarkEnd w:id="38"/>
      <w:bookmarkEnd w:id="39"/>
      <w:bookmarkEnd w:id="40"/>
    </w:p>
    <w:p w:rsidR="005A11F1" w:rsidRDefault="005A11F1" w:rsidP="005E3980"/>
    <w:p w:rsidR="00B35B45" w:rsidRPr="006A529A" w:rsidRDefault="00B35B45" w:rsidP="005E3980">
      <w:pPr>
        <w:jc w:val="both"/>
        <w:rPr>
          <w:rFonts w:cs="Arial"/>
          <w:color w:val="000000" w:themeColor="text1"/>
          <w:sz w:val="22"/>
          <w:szCs w:val="22"/>
        </w:rPr>
      </w:pPr>
      <w:r>
        <w:rPr>
          <w:rFonts w:cs="Arial"/>
          <w:color w:val="000000" w:themeColor="text1"/>
          <w:sz w:val="22"/>
          <w:szCs w:val="22"/>
        </w:rPr>
        <w:t>U cilju sveobuhvatnog pregleda stanja na loka</w:t>
      </w:r>
      <w:r w:rsidR="00DC641A">
        <w:rPr>
          <w:rFonts w:cs="Arial"/>
          <w:color w:val="000000" w:themeColor="text1"/>
          <w:sz w:val="22"/>
          <w:szCs w:val="22"/>
        </w:rPr>
        <w:t>l</w:t>
      </w:r>
      <w:r>
        <w:rPr>
          <w:rFonts w:cs="Arial"/>
          <w:color w:val="000000" w:themeColor="text1"/>
          <w:sz w:val="22"/>
          <w:szCs w:val="22"/>
        </w:rPr>
        <w:t xml:space="preserve">nom tržištu rada, u nastavku je data analiza kretanja </w:t>
      </w:r>
      <w:r w:rsidRPr="006A529A">
        <w:rPr>
          <w:rFonts w:cs="Arial"/>
          <w:color w:val="000000" w:themeColor="text1"/>
          <w:sz w:val="22"/>
          <w:szCs w:val="22"/>
        </w:rPr>
        <w:t>zaposlenosti i zarada u periodu od 2011. do</w:t>
      </w:r>
      <w:r>
        <w:rPr>
          <w:rFonts w:cs="Arial"/>
          <w:color w:val="000000" w:themeColor="text1"/>
          <w:sz w:val="22"/>
          <w:szCs w:val="22"/>
        </w:rPr>
        <w:t xml:space="preserve"> prva dva kvartala 2020. godine. Takođe, data je analiza odnosa između broja zaposlenih i broja penzionera u </w:t>
      </w:r>
      <w:r w:rsidRPr="006A529A">
        <w:rPr>
          <w:rFonts w:cs="Arial"/>
          <w:color w:val="000000" w:themeColor="text1"/>
          <w:sz w:val="22"/>
          <w:szCs w:val="22"/>
        </w:rPr>
        <w:t xml:space="preserve"> </w:t>
      </w:r>
      <w:r>
        <w:rPr>
          <w:rFonts w:cs="Arial"/>
          <w:color w:val="000000" w:themeColor="text1"/>
          <w:sz w:val="22"/>
          <w:szCs w:val="22"/>
        </w:rPr>
        <w:t>Podgorici</w:t>
      </w:r>
      <w:r w:rsidRPr="006A529A">
        <w:rPr>
          <w:rFonts w:cs="Arial"/>
          <w:color w:val="000000" w:themeColor="text1"/>
          <w:sz w:val="22"/>
          <w:szCs w:val="22"/>
        </w:rPr>
        <w:t xml:space="preserve"> što predstavlja </w:t>
      </w:r>
      <w:r>
        <w:rPr>
          <w:rFonts w:cs="Arial"/>
          <w:color w:val="000000" w:themeColor="text1"/>
          <w:sz w:val="22"/>
          <w:szCs w:val="22"/>
        </w:rPr>
        <w:t xml:space="preserve">važan </w:t>
      </w:r>
      <w:r w:rsidRPr="006A529A">
        <w:rPr>
          <w:rFonts w:cs="Arial"/>
          <w:color w:val="000000" w:themeColor="text1"/>
          <w:sz w:val="22"/>
          <w:szCs w:val="22"/>
        </w:rPr>
        <w:t xml:space="preserve">pokazatelj stanja na tržištu rada. </w:t>
      </w:r>
    </w:p>
    <w:p w:rsidR="00B35B45" w:rsidRDefault="00B35B45" w:rsidP="005E3980"/>
    <w:p w:rsidR="00EC2702" w:rsidRPr="007909E6" w:rsidRDefault="00EC2702" w:rsidP="007909E6">
      <w:pPr>
        <w:pStyle w:val="Heading3"/>
      </w:pPr>
      <w:r w:rsidRPr="007909E6">
        <w:t>3.1.</w:t>
      </w:r>
      <w:r w:rsidR="007909E6">
        <w:t>1</w:t>
      </w:r>
      <w:r w:rsidRPr="007909E6">
        <w:t xml:space="preserve"> Zaposlenost</w:t>
      </w:r>
    </w:p>
    <w:p w:rsidR="00B778BD" w:rsidRPr="00B35B45" w:rsidRDefault="00B778BD" w:rsidP="00FC2D96"/>
    <w:p w:rsidR="00B35B45" w:rsidRPr="004B0496" w:rsidRDefault="00B35B45" w:rsidP="005526BB">
      <w:pPr>
        <w:jc w:val="both"/>
        <w:rPr>
          <w:rFonts w:cs="Arial"/>
          <w:color w:val="000000" w:themeColor="text1"/>
          <w:sz w:val="22"/>
          <w:szCs w:val="22"/>
        </w:rPr>
      </w:pPr>
      <w:r w:rsidRPr="004B0496">
        <w:rPr>
          <w:rFonts w:cs="Arial"/>
          <w:color w:val="000000" w:themeColor="text1"/>
          <w:sz w:val="22"/>
          <w:szCs w:val="22"/>
        </w:rPr>
        <w:t xml:space="preserve">Tokom perioda od 2011. do 2019. godine ukupna zaposlenost u Podgorici je bilježila rast. U odnosu na 2011. godinu broj zaposlenih je u 2019. porastao za </w:t>
      </w:r>
      <w:r w:rsidR="004B0496" w:rsidRPr="004B0496">
        <w:rPr>
          <w:rFonts w:cs="Arial"/>
          <w:color w:val="000000" w:themeColor="text1"/>
          <w:sz w:val="22"/>
          <w:szCs w:val="22"/>
        </w:rPr>
        <w:t xml:space="preserve">25.616 ili </w:t>
      </w:r>
      <w:r w:rsidRPr="004B0496">
        <w:rPr>
          <w:rFonts w:cs="Arial"/>
          <w:color w:val="000000" w:themeColor="text1"/>
          <w:sz w:val="22"/>
          <w:szCs w:val="22"/>
        </w:rPr>
        <w:t xml:space="preserve">37,6%. </w:t>
      </w:r>
      <w:r w:rsidR="004B0496" w:rsidRPr="004B0496">
        <w:rPr>
          <w:rFonts w:cs="Arial"/>
          <w:color w:val="000000" w:themeColor="text1"/>
          <w:sz w:val="22"/>
          <w:szCs w:val="22"/>
        </w:rPr>
        <w:t xml:space="preserve">Međutim, snažan uticaj pandemije na ekonomsku aktivnost tokom 2020. godine se odrazio na stanje na tržištu rada, odnosno doprinio padu zaposlenosti. </w:t>
      </w:r>
      <w:r w:rsidRPr="007831E4">
        <w:rPr>
          <w:rFonts w:cs="Arial"/>
          <w:sz w:val="22"/>
          <w:szCs w:val="22"/>
        </w:rPr>
        <w:t xml:space="preserve">U </w:t>
      </w:r>
      <w:r w:rsidR="006724C2" w:rsidRPr="007831E4">
        <w:rPr>
          <w:rFonts w:cs="Arial"/>
          <w:sz w:val="22"/>
          <w:szCs w:val="22"/>
        </w:rPr>
        <w:t xml:space="preserve">junu </w:t>
      </w:r>
      <w:r w:rsidRPr="007831E4">
        <w:rPr>
          <w:rFonts w:cs="Arial"/>
          <w:sz w:val="22"/>
          <w:szCs w:val="22"/>
        </w:rPr>
        <w:t xml:space="preserve">2020. </w:t>
      </w:r>
      <w:r w:rsidR="000C2CFD" w:rsidRPr="007831E4">
        <w:rPr>
          <w:rFonts w:cs="Arial"/>
          <w:sz w:val="22"/>
          <w:szCs w:val="22"/>
        </w:rPr>
        <w:t xml:space="preserve">godini </w:t>
      </w:r>
      <w:r w:rsidRPr="007831E4">
        <w:rPr>
          <w:rFonts w:cs="Arial"/>
          <w:sz w:val="22"/>
          <w:szCs w:val="22"/>
        </w:rPr>
        <w:t xml:space="preserve">ukupan broj zaposlenih u </w:t>
      </w:r>
      <w:r w:rsidR="004B0496" w:rsidRPr="007831E4">
        <w:rPr>
          <w:rFonts w:cs="Arial"/>
          <w:sz w:val="22"/>
          <w:szCs w:val="22"/>
        </w:rPr>
        <w:t xml:space="preserve">Podgorici </w:t>
      </w:r>
      <w:r w:rsidRPr="007831E4">
        <w:rPr>
          <w:rFonts w:cs="Arial"/>
          <w:sz w:val="22"/>
          <w:szCs w:val="22"/>
        </w:rPr>
        <w:t xml:space="preserve">je </w:t>
      </w:r>
      <w:r w:rsidR="0035170E" w:rsidRPr="007831E4">
        <w:rPr>
          <w:rFonts w:cs="Arial"/>
          <w:sz w:val="22"/>
          <w:szCs w:val="22"/>
        </w:rPr>
        <w:t xml:space="preserve">iznosio </w:t>
      </w:r>
      <w:r w:rsidR="006724C2" w:rsidRPr="007831E4">
        <w:rPr>
          <w:rFonts w:cs="Arial"/>
          <w:sz w:val="22"/>
          <w:szCs w:val="22"/>
        </w:rPr>
        <w:t>82.298</w:t>
      </w:r>
      <w:r w:rsidRPr="007831E4">
        <w:rPr>
          <w:rFonts w:cs="Arial"/>
          <w:sz w:val="22"/>
          <w:szCs w:val="22"/>
        </w:rPr>
        <w:t xml:space="preserve">, što </w:t>
      </w:r>
      <w:r w:rsidR="004B0496" w:rsidRPr="007831E4">
        <w:rPr>
          <w:rFonts w:cs="Arial"/>
          <w:sz w:val="22"/>
          <w:szCs w:val="22"/>
        </w:rPr>
        <w:t xml:space="preserve">je za </w:t>
      </w:r>
      <w:r w:rsidR="000C2CFD" w:rsidRPr="007831E4">
        <w:rPr>
          <w:rFonts w:cs="Arial"/>
          <w:sz w:val="22"/>
          <w:szCs w:val="22"/>
        </w:rPr>
        <w:t>12,</w:t>
      </w:r>
      <w:r w:rsidR="006724C2" w:rsidRPr="007831E4">
        <w:rPr>
          <w:rFonts w:cs="Arial"/>
          <w:sz w:val="22"/>
          <w:szCs w:val="22"/>
        </w:rPr>
        <w:t>2</w:t>
      </w:r>
      <w:r w:rsidR="004B0496" w:rsidRPr="007831E4">
        <w:rPr>
          <w:rFonts w:cs="Arial"/>
          <w:sz w:val="22"/>
          <w:szCs w:val="22"/>
        </w:rPr>
        <w:t>% manje u odnosu na 2019. godinu</w:t>
      </w:r>
      <w:r w:rsidR="0073676D" w:rsidRPr="007831E4">
        <w:rPr>
          <w:rFonts w:cs="Arial"/>
          <w:sz w:val="22"/>
          <w:szCs w:val="22"/>
        </w:rPr>
        <w:t xml:space="preserve"> i blizu nivoa </w:t>
      </w:r>
      <w:r w:rsidR="0035170E" w:rsidRPr="007831E4">
        <w:rPr>
          <w:rFonts w:cs="Arial"/>
          <w:sz w:val="22"/>
          <w:szCs w:val="22"/>
        </w:rPr>
        <w:t xml:space="preserve">iz </w:t>
      </w:r>
      <w:r w:rsidR="0073676D" w:rsidRPr="007831E4">
        <w:rPr>
          <w:rFonts w:cs="Arial"/>
          <w:sz w:val="22"/>
          <w:szCs w:val="22"/>
        </w:rPr>
        <w:t>2016. godine</w:t>
      </w:r>
      <w:r w:rsidR="004B0496" w:rsidRPr="007831E4">
        <w:rPr>
          <w:rFonts w:cs="Arial"/>
          <w:color w:val="000000" w:themeColor="text1"/>
          <w:sz w:val="22"/>
          <w:szCs w:val="22"/>
        </w:rPr>
        <w:t>.</w:t>
      </w:r>
      <w:r w:rsidR="004B0496" w:rsidRPr="004B0496">
        <w:rPr>
          <w:rFonts w:cs="Arial"/>
          <w:color w:val="000000" w:themeColor="text1"/>
          <w:sz w:val="22"/>
          <w:szCs w:val="22"/>
        </w:rPr>
        <w:t xml:space="preserve"> Ovakvi trendovi tokom 2020. godine predstavljaju dodatni pritisak lokalnom tržištu rada. </w:t>
      </w:r>
    </w:p>
    <w:p w:rsidR="005526BB" w:rsidRDefault="005526BB" w:rsidP="005526BB">
      <w:pPr>
        <w:jc w:val="both"/>
        <w:rPr>
          <w:color w:val="000000" w:themeColor="text1"/>
          <w:sz w:val="22"/>
          <w:szCs w:val="22"/>
        </w:rPr>
      </w:pPr>
    </w:p>
    <w:p w:rsidR="00B35B45" w:rsidRPr="001A2BFB" w:rsidRDefault="004B0496" w:rsidP="005526BB">
      <w:pPr>
        <w:jc w:val="both"/>
        <w:rPr>
          <w:color w:val="000000" w:themeColor="text1"/>
          <w:sz w:val="22"/>
          <w:szCs w:val="22"/>
        </w:rPr>
      </w:pPr>
      <w:r w:rsidRPr="004B0496">
        <w:rPr>
          <w:color w:val="000000" w:themeColor="text1"/>
          <w:sz w:val="22"/>
          <w:szCs w:val="22"/>
        </w:rPr>
        <w:t xml:space="preserve">Glavni grad </w:t>
      </w:r>
      <w:r w:rsidRPr="001A2BFB">
        <w:rPr>
          <w:color w:val="000000" w:themeColor="text1"/>
          <w:sz w:val="22"/>
          <w:szCs w:val="22"/>
        </w:rPr>
        <w:t xml:space="preserve">Podgorica </w:t>
      </w:r>
      <w:r w:rsidR="001A2BFB" w:rsidRPr="001A2BFB">
        <w:rPr>
          <w:color w:val="000000" w:themeColor="text1"/>
          <w:sz w:val="22"/>
          <w:szCs w:val="22"/>
        </w:rPr>
        <w:t>zapošljava nešto više od četiri petine radne snage zaposlene u Središnjem reg</w:t>
      </w:r>
      <w:r w:rsidR="00F02255">
        <w:rPr>
          <w:color w:val="000000" w:themeColor="text1"/>
          <w:sz w:val="22"/>
          <w:szCs w:val="22"/>
        </w:rPr>
        <w:t>ionu (81% u 2019</w:t>
      </w:r>
      <w:r w:rsidR="006724C2">
        <w:rPr>
          <w:color w:val="000000" w:themeColor="text1"/>
          <w:sz w:val="22"/>
          <w:szCs w:val="22"/>
        </w:rPr>
        <w:t>.</w:t>
      </w:r>
      <w:r w:rsidR="00F02255">
        <w:rPr>
          <w:color w:val="000000" w:themeColor="text1"/>
          <w:sz w:val="22"/>
          <w:szCs w:val="22"/>
        </w:rPr>
        <w:t>), odnosno 46,1</w:t>
      </w:r>
      <w:r w:rsidR="001A2BFB" w:rsidRPr="001A2BFB">
        <w:rPr>
          <w:color w:val="000000" w:themeColor="text1"/>
          <w:sz w:val="22"/>
          <w:szCs w:val="22"/>
        </w:rPr>
        <w:t>%</w:t>
      </w:r>
      <w:r w:rsidR="00B35B45" w:rsidRPr="001A2BFB">
        <w:rPr>
          <w:color w:val="000000" w:themeColor="text1"/>
          <w:sz w:val="22"/>
          <w:szCs w:val="22"/>
        </w:rPr>
        <w:t xml:space="preserve"> ukupne zaposlenosti u Crnoj Gori. Odnos između broja registrovanih zaposlenih i broja </w:t>
      </w:r>
      <w:r w:rsidR="001A2BFB" w:rsidRPr="001A2BFB">
        <w:rPr>
          <w:color w:val="000000" w:themeColor="text1"/>
          <w:sz w:val="22"/>
          <w:szCs w:val="22"/>
        </w:rPr>
        <w:t>stanovnika iznosi 0,5 (2019</w:t>
      </w:r>
      <w:r w:rsidR="006724C2">
        <w:rPr>
          <w:color w:val="000000" w:themeColor="text1"/>
          <w:sz w:val="22"/>
          <w:szCs w:val="22"/>
        </w:rPr>
        <w:t>.</w:t>
      </w:r>
      <w:r w:rsidR="001A2BFB" w:rsidRPr="001A2BFB">
        <w:rPr>
          <w:color w:val="000000" w:themeColor="text1"/>
          <w:sz w:val="22"/>
          <w:szCs w:val="22"/>
        </w:rPr>
        <w:t xml:space="preserve">), što je u </w:t>
      </w:r>
      <w:r w:rsidR="00B35B45" w:rsidRPr="001A2BFB">
        <w:rPr>
          <w:color w:val="000000" w:themeColor="text1"/>
          <w:sz w:val="22"/>
          <w:szCs w:val="22"/>
        </w:rPr>
        <w:t xml:space="preserve">odnosu na nacionalni </w:t>
      </w:r>
      <w:r w:rsidR="001A2BFB" w:rsidRPr="001A2BFB">
        <w:rPr>
          <w:color w:val="000000" w:themeColor="text1"/>
          <w:sz w:val="22"/>
          <w:szCs w:val="22"/>
        </w:rPr>
        <w:t>nivo i nivo Središnjeg regiona na značajno višem</w:t>
      </w:r>
      <w:r w:rsidR="00B35B45" w:rsidRPr="001A2BFB">
        <w:rPr>
          <w:color w:val="000000" w:themeColor="text1"/>
          <w:sz w:val="22"/>
          <w:szCs w:val="22"/>
        </w:rPr>
        <w:t xml:space="preserve"> nivou (na nivou Crne Gore iznosi 0,33, a na nivou S</w:t>
      </w:r>
      <w:r w:rsidR="001A2BFB" w:rsidRPr="001A2BFB">
        <w:rPr>
          <w:color w:val="000000" w:themeColor="text1"/>
          <w:sz w:val="22"/>
          <w:szCs w:val="22"/>
        </w:rPr>
        <w:t>redišnjeg regiona je 0,38</w:t>
      </w:r>
      <w:r w:rsidR="00B35B45" w:rsidRPr="001A2BFB">
        <w:rPr>
          <w:color w:val="000000" w:themeColor="text1"/>
          <w:sz w:val="22"/>
          <w:szCs w:val="22"/>
        </w:rPr>
        <w:t xml:space="preserve">). </w:t>
      </w:r>
    </w:p>
    <w:p w:rsidR="00B35B45" w:rsidRPr="003A68F1" w:rsidRDefault="00B35B45" w:rsidP="00DE28B8">
      <w:pPr>
        <w:jc w:val="both"/>
        <w:rPr>
          <w:rFonts w:cs="Arial"/>
          <w:color w:val="000000" w:themeColor="text1"/>
          <w:sz w:val="22"/>
          <w:szCs w:val="22"/>
        </w:rPr>
      </w:pPr>
    </w:p>
    <w:p w:rsidR="00A01B40" w:rsidRDefault="00A01B40" w:rsidP="00DE28B8">
      <w:pPr>
        <w:jc w:val="both"/>
        <w:rPr>
          <w:rFonts w:cs="Arial"/>
          <w:szCs w:val="20"/>
        </w:rPr>
      </w:pPr>
      <w:r w:rsidRPr="005B3176">
        <w:rPr>
          <w:rFonts w:cs="Arial"/>
          <w:szCs w:val="20"/>
        </w:rPr>
        <w:t>Grafik</w:t>
      </w:r>
      <w:r w:rsidR="009D0CB2" w:rsidRPr="005B3176">
        <w:rPr>
          <w:rFonts w:cs="Arial"/>
          <w:szCs w:val="20"/>
        </w:rPr>
        <w:t xml:space="preserve"> </w:t>
      </w:r>
      <w:r w:rsidR="00595AD8">
        <w:rPr>
          <w:rFonts w:cs="Arial"/>
          <w:szCs w:val="20"/>
        </w:rPr>
        <w:t>6</w:t>
      </w:r>
      <w:r w:rsidRPr="005B3176">
        <w:rPr>
          <w:rFonts w:cs="Arial"/>
          <w:szCs w:val="20"/>
        </w:rPr>
        <w:t xml:space="preserve">: Broj zaposlenih, </w:t>
      </w:r>
      <w:r w:rsidR="00222567">
        <w:rPr>
          <w:rFonts w:cs="Arial"/>
          <w:szCs w:val="20"/>
        </w:rPr>
        <w:t>2</w:t>
      </w:r>
      <w:r w:rsidR="00AC05F6">
        <w:rPr>
          <w:rFonts w:cs="Arial"/>
          <w:szCs w:val="20"/>
        </w:rPr>
        <w:t>011 –</w:t>
      </w:r>
      <w:r w:rsidR="008A2F99">
        <w:rPr>
          <w:rFonts w:cs="Arial"/>
          <w:szCs w:val="20"/>
        </w:rPr>
        <w:t xml:space="preserve"> </w:t>
      </w:r>
      <w:r w:rsidR="00AC05F6">
        <w:rPr>
          <w:rFonts w:cs="Arial"/>
          <w:szCs w:val="20"/>
        </w:rPr>
        <w:t>2020.</w:t>
      </w:r>
    </w:p>
    <w:p w:rsidR="00C54F96" w:rsidRDefault="00C54F96" w:rsidP="00DE28B8">
      <w:pPr>
        <w:jc w:val="both"/>
        <w:rPr>
          <w:rFonts w:cs="Arial"/>
          <w:szCs w:val="20"/>
        </w:rPr>
      </w:pPr>
    </w:p>
    <w:p w:rsidR="00222567" w:rsidRDefault="006724C2" w:rsidP="0015351C">
      <w:pPr>
        <w:jc w:val="center"/>
        <w:rPr>
          <w:rFonts w:cs="Arial"/>
          <w:sz w:val="22"/>
          <w:szCs w:val="22"/>
        </w:rPr>
      </w:pPr>
      <w:r>
        <w:rPr>
          <w:noProof/>
          <w:lang w:val="en-US"/>
        </w:rPr>
        <w:drawing>
          <wp:inline distT="0" distB="0" distL="0" distR="0">
            <wp:extent cx="5620385" cy="1694047"/>
            <wp:effectExtent l="0" t="0" r="0" b="1905"/>
            <wp:docPr id="1" name="Grafiko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B5C4ACA0-4D64-4F29-8890-3775941294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50CB" w:rsidRPr="00637E5D" w:rsidRDefault="002C50CB" w:rsidP="00B778BD">
      <w:pPr>
        <w:jc w:val="right"/>
        <w:rPr>
          <w:rFonts w:cs="Arial"/>
          <w:i/>
          <w:iCs/>
          <w:sz w:val="18"/>
        </w:rPr>
      </w:pPr>
      <w:r w:rsidRPr="00637E5D">
        <w:rPr>
          <w:rFonts w:cs="Arial"/>
          <w:i/>
          <w:iCs/>
          <w:sz w:val="18"/>
        </w:rPr>
        <w:t>Izvor: MONSTAT</w:t>
      </w:r>
    </w:p>
    <w:p w:rsidR="00046D72" w:rsidRDefault="00046D72" w:rsidP="00DE28B8">
      <w:pPr>
        <w:jc w:val="both"/>
        <w:rPr>
          <w:rFonts w:cs="Arial"/>
          <w:color w:val="000000" w:themeColor="text1"/>
          <w:sz w:val="22"/>
          <w:szCs w:val="22"/>
        </w:rPr>
      </w:pPr>
    </w:p>
    <w:p w:rsidR="001A2BFB" w:rsidRDefault="000C2CFD" w:rsidP="00DE28B8">
      <w:pPr>
        <w:jc w:val="both"/>
        <w:rPr>
          <w:rFonts w:cs="Arial"/>
          <w:color w:val="000000" w:themeColor="text1"/>
          <w:sz w:val="22"/>
          <w:szCs w:val="22"/>
        </w:rPr>
      </w:pPr>
      <w:r>
        <w:rPr>
          <w:rFonts w:cs="Arial"/>
          <w:color w:val="000000" w:themeColor="text1"/>
          <w:sz w:val="22"/>
          <w:szCs w:val="22"/>
        </w:rPr>
        <w:t>S</w:t>
      </w:r>
      <w:r w:rsidR="00C869E5">
        <w:rPr>
          <w:rFonts w:cs="Arial"/>
          <w:color w:val="000000" w:themeColor="text1"/>
          <w:sz w:val="22"/>
          <w:szCs w:val="22"/>
        </w:rPr>
        <w:t xml:space="preserve">koro trećina zaposlenih u privrednim subjektima radi u </w:t>
      </w:r>
      <w:r w:rsidR="00084529">
        <w:rPr>
          <w:rFonts w:cs="Arial"/>
          <w:color w:val="000000" w:themeColor="text1"/>
          <w:sz w:val="22"/>
          <w:szCs w:val="22"/>
        </w:rPr>
        <w:t>djelatnosti</w:t>
      </w:r>
      <w:r w:rsidR="00C869E5">
        <w:rPr>
          <w:rFonts w:cs="Arial"/>
          <w:color w:val="000000" w:themeColor="text1"/>
          <w:sz w:val="22"/>
          <w:szCs w:val="22"/>
        </w:rPr>
        <w:t xml:space="preserve"> </w:t>
      </w:r>
      <w:r w:rsidR="00F56DA8">
        <w:rPr>
          <w:rFonts w:cs="Arial"/>
          <w:color w:val="000000" w:themeColor="text1"/>
          <w:sz w:val="22"/>
          <w:szCs w:val="22"/>
        </w:rPr>
        <w:t>T</w:t>
      </w:r>
      <w:r w:rsidR="00C869E5">
        <w:rPr>
          <w:rFonts w:cs="Arial"/>
          <w:color w:val="000000" w:themeColor="text1"/>
          <w:sz w:val="22"/>
          <w:szCs w:val="22"/>
        </w:rPr>
        <w:t>rgovine</w:t>
      </w:r>
      <w:r w:rsidR="00F56DA8">
        <w:rPr>
          <w:rFonts w:cs="Arial"/>
          <w:color w:val="000000" w:themeColor="text1"/>
          <w:sz w:val="22"/>
          <w:szCs w:val="22"/>
        </w:rPr>
        <w:t xml:space="preserve"> </w:t>
      </w:r>
      <w:r w:rsidR="00F56DA8" w:rsidRPr="00F56DA8">
        <w:rPr>
          <w:rFonts w:eastAsia="Times New Roman" w:cs="Calibri"/>
          <w:bCs/>
          <w:color w:val="000000"/>
          <w:sz w:val="22"/>
          <w:szCs w:val="22"/>
          <w:lang w:val="en-US"/>
        </w:rPr>
        <w:t>na veliko i trgovina malo i popravka motornih vozila</w:t>
      </w:r>
      <w:r w:rsidR="00C869E5">
        <w:rPr>
          <w:rFonts w:cs="Arial"/>
          <w:color w:val="000000" w:themeColor="text1"/>
          <w:sz w:val="22"/>
          <w:szCs w:val="22"/>
        </w:rPr>
        <w:t xml:space="preserve"> (31%), dok je u </w:t>
      </w:r>
      <w:r w:rsidR="00084529">
        <w:rPr>
          <w:rFonts w:cs="Arial"/>
          <w:color w:val="000000" w:themeColor="text1"/>
          <w:sz w:val="22"/>
          <w:szCs w:val="22"/>
        </w:rPr>
        <w:t>djelatnosti</w:t>
      </w:r>
      <w:r w:rsidR="00C869E5">
        <w:rPr>
          <w:rFonts w:cs="Arial"/>
          <w:color w:val="000000" w:themeColor="text1"/>
          <w:sz w:val="22"/>
          <w:szCs w:val="22"/>
        </w:rPr>
        <w:t xml:space="preserve"> </w:t>
      </w:r>
      <w:r w:rsidR="00F56DA8">
        <w:rPr>
          <w:rFonts w:cs="Arial"/>
          <w:color w:val="000000" w:themeColor="text1"/>
          <w:sz w:val="22"/>
          <w:szCs w:val="22"/>
        </w:rPr>
        <w:t>G</w:t>
      </w:r>
      <w:r w:rsidR="00C869E5">
        <w:rPr>
          <w:rFonts w:cs="Arial"/>
          <w:color w:val="000000" w:themeColor="text1"/>
          <w:sz w:val="22"/>
          <w:szCs w:val="22"/>
        </w:rPr>
        <w:t>rađevinarstv</w:t>
      </w:r>
      <w:r w:rsidR="00F56DA8">
        <w:rPr>
          <w:rFonts w:cs="Arial"/>
          <w:color w:val="000000" w:themeColor="text1"/>
          <w:sz w:val="22"/>
          <w:szCs w:val="22"/>
        </w:rPr>
        <w:t>o</w:t>
      </w:r>
      <w:r w:rsidR="00C869E5">
        <w:rPr>
          <w:rFonts w:cs="Arial"/>
          <w:color w:val="000000" w:themeColor="text1"/>
          <w:sz w:val="22"/>
          <w:szCs w:val="22"/>
        </w:rPr>
        <w:t xml:space="preserve"> i </w:t>
      </w:r>
      <w:r w:rsidR="00084529">
        <w:rPr>
          <w:rFonts w:cs="Arial"/>
          <w:color w:val="000000" w:themeColor="text1"/>
          <w:sz w:val="22"/>
          <w:szCs w:val="22"/>
        </w:rPr>
        <w:t>djelatnosti</w:t>
      </w:r>
      <w:r w:rsidR="00C869E5">
        <w:rPr>
          <w:rFonts w:cs="Arial"/>
          <w:color w:val="000000" w:themeColor="text1"/>
          <w:sz w:val="22"/>
          <w:szCs w:val="22"/>
        </w:rPr>
        <w:t xml:space="preserve"> </w:t>
      </w:r>
      <w:r w:rsidR="00F56DA8">
        <w:rPr>
          <w:rFonts w:cs="Arial"/>
          <w:color w:val="000000" w:themeColor="text1"/>
          <w:sz w:val="22"/>
          <w:szCs w:val="22"/>
        </w:rPr>
        <w:t>A</w:t>
      </w:r>
      <w:r w:rsidR="00C869E5">
        <w:rPr>
          <w:rFonts w:cs="Arial"/>
          <w:color w:val="000000" w:themeColor="text1"/>
          <w:sz w:val="22"/>
          <w:szCs w:val="22"/>
        </w:rPr>
        <w:t>dministrativn</w:t>
      </w:r>
      <w:r w:rsidR="00F56DA8">
        <w:rPr>
          <w:rFonts w:cs="Arial"/>
          <w:color w:val="000000" w:themeColor="text1"/>
          <w:sz w:val="22"/>
          <w:szCs w:val="22"/>
        </w:rPr>
        <w:t>e</w:t>
      </w:r>
      <w:r w:rsidR="00C869E5">
        <w:rPr>
          <w:rFonts w:cs="Arial"/>
          <w:color w:val="000000" w:themeColor="text1"/>
          <w:sz w:val="22"/>
          <w:szCs w:val="22"/>
        </w:rPr>
        <w:t xml:space="preserve"> i pomoćn</w:t>
      </w:r>
      <w:r w:rsidR="00F56DA8">
        <w:rPr>
          <w:rFonts w:cs="Arial"/>
          <w:color w:val="000000" w:themeColor="text1"/>
          <w:sz w:val="22"/>
          <w:szCs w:val="22"/>
        </w:rPr>
        <w:t>e</w:t>
      </w:r>
      <w:r w:rsidR="00C869E5">
        <w:rPr>
          <w:rFonts w:cs="Arial"/>
          <w:color w:val="000000" w:themeColor="text1"/>
          <w:sz w:val="22"/>
          <w:szCs w:val="22"/>
        </w:rPr>
        <w:t xml:space="preserve"> uslužn</w:t>
      </w:r>
      <w:r w:rsidR="00F56DA8">
        <w:rPr>
          <w:rFonts w:cs="Arial"/>
          <w:color w:val="000000" w:themeColor="text1"/>
          <w:sz w:val="22"/>
          <w:szCs w:val="22"/>
        </w:rPr>
        <w:t>e</w:t>
      </w:r>
      <w:r w:rsidR="00C869E5">
        <w:rPr>
          <w:rFonts w:cs="Arial"/>
          <w:color w:val="000000" w:themeColor="text1"/>
          <w:sz w:val="22"/>
          <w:szCs w:val="22"/>
        </w:rPr>
        <w:t xml:space="preserve"> djelatnosti zaposleno nešto više od petine zaposlenih (11,2% </w:t>
      </w:r>
      <w:r w:rsidR="00F56DA8">
        <w:rPr>
          <w:rFonts w:cs="Arial"/>
          <w:color w:val="000000" w:themeColor="text1"/>
          <w:sz w:val="22"/>
          <w:szCs w:val="22"/>
        </w:rPr>
        <w:t xml:space="preserve">i </w:t>
      </w:r>
      <w:r w:rsidR="00C869E5">
        <w:rPr>
          <w:rFonts w:cs="Arial"/>
          <w:color w:val="000000" w:themeColor="text1"/>
          <w:sz w:val="22"/>
          <w:szCs w:val="22"/>
        </w:rPr>
        <w:t xml:space="preserve"> 11,3% </w:t>
      </w:r>
      <w:r w:rsidR="00F56DA8">
        <w:rPr>
          <w:rFonts w:cs="Arial"/>
          <w:color w:val="000000" w:themeColor="text1"/>
          <w:sz w:val="22"/>
          <w:szCs w:val="22"/>
        </w:rPr>
        <w:t>respektivno</w:t>
      </w:r>
      <w:r w:rsidR="00C869E5">
        <w:rPr>
          <w:rFonts w:cs="Arial"/>
          <w:color w:val="000000" w:themeColor="text1"/>
          <w:sz w:val="22"/>
          <w:szCs w:val="22"/>
        </w:rPr>
        <w:t xml:space="preserve">). </w:t>
      </w:r>
    </w:p>
    <w:p w:rsidR="00C869E5" w:rsidRPr="002E353D" w:rsidRDefault="00C869E5" w:rsidP="00DE28B8">
      <w:pPr>
        <w:jc w:val="both"/>
        <w:rPr>
          <w:rFonts w:cs="Arial"/>
          <w:color w:val="000000" w:themeColor="text1"/>
          <w:sz w:val="22"/>
          <w:szCs w:val="22"/>
        </w:rPr>
      </w:pPr>
    </w:p>
    <w:p w:rsidR="002E353D" w:rsidRDefault="00595AD8" w:rsidP="00DE28B8">
      <w:pPr>
        <w:jc w:val="both"/>
        <w:rPr>
          <w:rFonts w:eastAsia="Times New Roman"/>
          <w:color w:val="000000"/>
          <w:szCs w:val="20"/>
          <w:lang w:eastAsia="sl-SI"/>
        </w:rPr>
      </w:pPr>
      <w:r>
        <w:rPr>
          <w:szCs w:val="20"/>
        </w:rPr>
        <w:t>Grafik 11</w:t>
      </w:r>
      <w:r w:rsidR="002E353D" w:rsidRPr="00C75D9B">
        <w:rPr>
          <w:szCs w:val="20"/>
        </w:rPr>
        <w:t xml:space="preserve">: </w:t>
      </w:r>
      <w:r w:rsidR="002E353D" w:rsidRPr="00C75D9B">
        <w:rPr>
          <w:rFonts w:eastAsia="Times New Roman"/>
          <w:color w:val="000000"/>
          <w:szCs w:val="20"/>
          <w:lang w:eastAsia="sl-SI"/>
        </w:rPr>
        <w:t xml:space="preserve">Pregled broja zaposlenih u privrednim subjektima u sektorima djelatnosti u </w:t>
      </w:r>
      <w:r w:rsidR="00CC1972">
        <w:rPr>
          <w:rFonts w:eastAsia="Times New Roman"/>
          <w:color w:val="000000"/>
          <w:szCs w:val="20"/>
          <w:lang w:eastAsia="sl-SI"/>
        </w:rPr>
        <w:t>Podgorici</w:t>
      </w:r>
      <w:r w:rsidR="001A2BFB">
        <w:rPr>
          <w:rFonts w:eastAsia="Times New Roman"/>
          <w:color w:val="000000"/>
          <w:szCs w:val="20"/>
          <w:lang w:eastAsia="sl-SI"/>
        </w:rPr>
        <w:t>, 2019</w:t>
      </w:r>
      <w:r w:rsidR="002E353D">
        <w:rPr>
          <w:rFonts w:eastAsia="Times New Roman"/>
          <w:color w:val="000000"/>
          <w:szCs w:val="20"/>
          <w:lang w:eastAsia="sl-SI"/>
        </w:rPr>
        <w:t>.</w:t>
      </w:r>
      <w:r w:rsidR="002E353D" w:rsidRPr="00C75D9B">
        <w:rPr>
          <w:rFonts w:eastAsia="Times New Roman"/>
          <w:color w:val="000000"/>
          <w:szCs w:val="20"/>
          <w:lang w:eastAsia="sl-SI"/>
        </w:rPr>
        <w:t xml:space="preserve"> </w:t>
      </w:r>
    </w:p>
    <w:p w:rsidR="00A84206" w:rsidRDefault="00A84206" w:rsidP="00DE28B8">
      <w:pPr>
        <w:jc w:val="both"/>
        <w:rPr>
          <w:rFonts w:eastAsia="Times New Roman"/>
          <w:color w:val="000000"/>
          <w:szCs w:val="20"/>
          <w:lang w:eastAsia="sl-SI"/>
        </w:rPr>
      </w:pPr>
    </w:p>
    <w:tbl>
      <w:tblPr>
        <w:tblW w:w="8289" w:type="dxa"/>
        <w:tblInd w:w="458"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011"/>
        <w:gridCol w:w="1224"/>
        <w:gridCol w:w="1054"/>
      </w:tblGrid>
      <w:tr w:rsidR="001A2BFB" w:rsidRPr="001A2BFB" w:rsidTr="00B060E8">
        <w:trPr>
          <w:trHeight w:val="189"/>
        </w:trPr>
        <w:tc>
          <w:tcPr>
            <w:tcW w:w="6011" w:type="dxa"/>
            <w:shd w:val="clear" w:color="auto" w:fill="FFD966" w:themeFill="accent4" w:themeFillTint="99"/>
            <w:noWrap/>
            <w:vAlign w:val="center"/>
            <w:hideMark/>
          </w:tcPr>
          <w:p w:rsidR="001A2BFB" w:rsidRPr="00196A72" w:rsidRDefault="00084529" w:rsidP="00767812">
            <w:pPr>
              <w:rPr>
                <w:rFonts w:eastAsia="Times New Roman" w:cs="Calibri"/>
                <w:bCs/>
                <w:color w:val="000000"/>
                <w:sz w:val="18"/>
                <w:lang w:val="en-US"/>
              </w:rPr>
            </w:pPr>
            <w:r>
              <w:rPr>
                <w:rFonts w:eastAsia="Times New Roman" w:cs="Calibri"/>
                <w:bCs/>
                <w:color w:val="000000"/>
                <w:sz w:val="18"/>
                <w:lang w:val="en-US"/>
              </w:rPr>
              <w:t>D</w:t>
            </w:r>
            <w:r w:rsidR="001A2BFB" w:rsidRPr="00196A72">
              <w:rPr>
                <w:rFonts w:eastAsia="Times New Roman" w:cs="Calibri"/>
                <w:bCs/>
                <w:color w:val="000000"/>
                <w:sz w:val="18"/>
                <w:lang w:val="en-US"/>
              </w:rPr>
              <w:t>jelatnost</w:t>
            </w:r>
          </w:p>
        </w:tc>
        <w:tc>
          <w:tcPr>
            <w:tcW w:w="1224" w:type="dxa"/>
            <w:shd w:val="clear" w:color="auto" w:fill="FFD966" w:themeFill="accent4" w:themeFillTint="99"/>
            <w:noWrap/>
            <w:vAlign w:val="center"/>
            <w:hideMark/>
          </w:tcPr>
          <w:p w:rsidR="001A2BFB" w:rsidRPr="00196A72" w:rsidRDefault="001A2BFB" w:rsidP="001A2BFB">
            <w:pPr>
              <w:jc w:val="center"/>
              <w:rPr>
                <w:rFonts w:eastAsia="Times New Roman" w:cs="Calibri"/>
                <w:bCs/>
                <w:color w:val="000000"/>
                <w:sz w:val="18"/>
                <w:lang w:val="en-US"/>
              </w:rPr>
            </w:pPr>
            <w:r w:rsidRPr="00196A72">
              <w:rPr>
                <w:rFonts w:eastAsia="Times New Roman" w:cs="Calibri"/>
                <w:bCs/>
                <w:color w:val="000000"/>
                <w:sz w:val="18"/>
                <w:lang w:val="en-US"/>
              </w:rPr>
              <w:t>Broj zaposlenih</w:t>
            </w:r>
          </w:p>
        </w:tc>
        <w:tc>
          <w:tcPr>
            <w:tcW w:w="1054" w:type="dxa"/>
            <w:shd w:val="clear" w:color="auto" w:fill="FFD966" w:themeFill="accent4" w:themeFillTint="99"/>
            <w:noWrap/>
            <w:vAlign w:val="center"/>
            <w:hideMark/>
          </w:tcPr>
          <w:p w:rsidR="001A2BFB" w:rsidRPr="00196A72" w:rsidRDefault="001A2BFB" w:rsidP="001A2BFB">
            <w:pPr>
              <w:jc w:val="center"/>
              <w:rPr>
                <w:rFonts w:eastAsia="Times New Roman" w:cs="Calibri"/>
                <w:bCs/>
                <w:color w:val="000000"/>
                <w:sz w:val="18"/>
                <w:lang w:val="en-US"/>
              </w:rPr>
            </w:pPr>
            <w:r w:rsidRPr="00196A72">
              <w:rPr>
                <w:rFonts w:eastAsia="Times New Roman" w:cs="Calibri"/>
                <w:bCs/>
                <w:color w:val="000000"/>
                <w:sz w:val="18"/>
                <w:lang w:val="en-US"/>
              </w:rPr>
              <w:t>Učešće u %</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Poljoprivreda, šumarstvo i ribarstvo</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762</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1,1</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 xml:space="preserve">Vađenje ruda i kamena </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67</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0,1</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 xml:space="preserve">Prerađivačka industrija </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2</w:t>
            </w:r>
            <w:r w:rsidR="00C84D38">
              <w:rPr>
                <w:rFonts w:eastAsia="Times New Roman" w:cs="Calibri"/>
                <w:bCs/>
                <w:color w:val="000000"/>
                <w:sz w:val="18"/>
                <w:lang w:val="en-US"/>
              </w:rPr>
              <w:t>.</w:t>
            </w:r>
            <w:r w:rsidRPr="001A2BFB">
              <w:rPr>
                <w:rFonts w:eastAsia="Times New Roman" w:cs="Calibri"/>
                <w:bCs/>
                <w:color w:val="000000"/>
                <w:sz w:val="18"/>
                <w:lang w:val="en-US"/>
              </w:rPr>
              <w:t>699</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3,9</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Snabdijevanje električnom energijom gasom i parom</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1</w:t>
            </w:r>
            <w:r w:rsidR="00C84D38">
              <w:rPr>
                <w:rFonts w:eastAsia="Times New Roman" w:cs="Calibri"/>
                <w:bCs/>
                <w:color w:val="000000"/>
                <w:sz w:val="18"/>
                <w:lang w:val="en-US"/>
              </w:rPr>
              <w:t>.</w:t>
            </w:r>
            <w:r w:rsidRPr="001A2BFB">
              <w:rPr>
                <w:rFonts w:eastAsia="Times New Roman" w:cs="Calibri"/>
                <w:bCs/>
                <w:color w:val="000000"/>
                <w:sz w:val="18"/>
                <w:lang w:val="en-US"/>
              </w:rPr>
              <w:t>784</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2,6</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Snabdijevanjem vodom, upravljanje otpadnim vodama</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1</w:t>
            </w:r>
            <w:r w:rsidR="00C84D38">
              <w:rPr>
                <w:rFonts w:eastAsia="Times New Roman" w:cs="Calibri"/>
                <w:bCs/>
                <w:color w:val="000000"/>
                <w:sz w:val="18"/>
                <w:lang w:val="en-US"/>
              </w:rPr>
              <w:t>.</w:t>
            </w:r>
            <w:r w:rsidRPr="001A2BFB">
              <w:rPr>
                <w:rFonts w:eastAsia="Times New Roman" w:cs="Calibri"/>
                <w:bCs/>
                <w:color w:val="000000"/>
                <w:sz w:val="18"/>
                <w:lang w:val="en-US"/>
              </w:rPr>
              <w:t>291</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1,9</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Građevinarstvo</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7</w:t>
            </w:r>
            <w:r w:rsidR="00C84D38">
              <w:rPr>
                <w:rFonts w:eastAsia="Times New Roman" w:cs="Calibri"/>
                <w:bCs/>
                <w:color w:val="000000"/>
                <w:sz w:val="18"/>
                <w:lang w:val="en-US"/>
              </w:rPr>
              <w:t>.</w:t>
            </w:r>
            <w:r w:rsidRPr="001A2BFB">
              <w:rPr>
                <w:rFonts w:eastAsia="Times New Roman" w:cs="Calibri"/>
                <w:bCs/>
                <w:color w:val="000000"/>
                <w:sz w:val="18"/>
                <w:lang w:val="en-US"/>
              </w:rPr>
              <w:t>686</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11,2</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Trgovina na veliko i trgovina malo i popravka motornih vozila</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21</w:t>
            </w:r>
            <w:r w:rsidR="00C84D38">
              <w:rPr>
                <w:rFonts w:eastAsia="Times New Roman" w:cs="Calibri"/>
                <w:bCs/>
                <w:color w:val="000000"/>
                <w:sz w:val="18"/>
                <w:lang w:val="en-US"/>
              </w:rPr>
              <w:t>.</w:t>
            </w:r>
            <w:r w:rsidRPr="001A2BFB">
              <w:rPr>
                <w:rFonts w:eastAsia="Times New Roman" w:cs="Calibri"/>
                <w:bCs/>
                <w:color w:val="000000"/>
                <w:sz w:val="18"/>
                <w:lang w:val="en-US"/>
              </w:rPr>
              <w:t>265</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31,0</w:t>
            </w:r>
          </w:p>
        </w:tc>
      </w:tr>
      <w:tr w:rsidR="001A2BFB" w:rsidRPr="001A2BFB" w:rsidTr="00B060E8">
        <w:trPr>
          <w:trHeight w:val="48"/>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Saobraćaj i skladištenje</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5</w:t>
            </w:r>
            <w:r w:rsidR="00C84D38">
              <w:rPr>
                <w:rFonts w:eastAsia="Times New Roman" w:cs="Calibri"/>
                <w:bCs/>
                <w:color w:val="000000"/>
                <w:sz w:val="18"/>
                <w:lang w:val="en-US"/>
              </w:rPr>
              <w:t>.</w:t>
            </w:r>
            <w:r w:rsidRPr="001A2BFB">
              <w:rPr>
                <w:rFonts w:eastAsia="Times New Roman" w:cs="Calibri"/>
                <w:bCs/>
                <w:color w:val="000000"/>
                <w:sz w:val="18"/>
                <w:lang w:val="en-US"/>
              </w:rPr>
              <w:t>623</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8,2</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Usluge smještaja i ishrane</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3</w:t>
            </w:r>
            <w:r w:rsidR="00C84D38">
              <w:rPr>
                <w:rFonts w:eastAsia="Times New Roman" w:cs="Calibri"/>
                <w:bCs/>
                <w:color w:val="000000"/>
                <w:sz w:val="18"/>
                <w:lang w:val="en-US"/>
              </w:rPr>
              <w:t>.</w:t>
            </w:r>
            <w:r w:rsidRPr="001A2BFB">
              <w:rPr>
                <w:rFonts w:eastAsia="Times New Roman" w:cs="Calibri"/>
                <w:bCs/>
                <w:color w:val="000000"/>
                <w:sz w:val="18"/>
                <w:lang w:val="en-US"/>
              </w:rPr>
              <w:t>490</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5,1</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Informisanje i komunikacije</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3</w:t>
            </w:r>
            <w:r w:rsidR="00C84D38">
              <w:rPr>
                <w:rFonts w:eastAsia="Times New Roman" w:cs="Calibri"/>
                <w:bCs/>
                <w:color w:val="000000"/>
                <w:sz w:val="18"/>
                <w:lang w:val="en-US"/>
              </w:rPr>
              <w:t>.</w:t>
            </w:r>
            <w:r w:rsidRPr="001A2BFB">
              <w:rPr>
                <w:rFonts w:eastAsia="Times New Roman" w:cs="Calibri"/>
                <w:bCs/>
                <w:color w:val="000000"/>
                <w:sz w:val="18"/>
                <w:lang w:val="en-US"/>
              </w:rPr>
              <w:t>494</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5,1</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Finansijske djelatnosti i djelatnost osiguranja</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3</w:t>
            </w:r>
            <w:r w:rsidR="00C84D38">
              <w:rPr>
                <w:rFonts w:eastAsia="Times New Roman" w:cs="Calibri"/>
                <w:bCs/>
                <w:color w:val="000000"/>
                <w:sz w:val="18"/>
                <w:lang w:val="en-US"/>
              </w:rPr>
              <w:t>.</w:t>
            </w:r>
            <w:r w:rsidRPr="001A2BFB">
              <w:rPr>
                <w:rFonts w:eastAsia="Times New Roman" w:cs="Calibri"/>
                <w:bCs/>
                <w:color w:val="000000"/>
                <w:sz w:val="18"/>
                <w:lang w:val="en-US"/>
              </w:rPr>
              <w:t>463</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5,1</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lastRenderedPageBreak/>
              <w:t>Poslovanje nekretninama</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398</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0,6</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Stručne, naučne i tehničke djelatnosti</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4</w:t>
            </w:r>
            <w:r w:rsidR="00C84D38">
              <w:rPr>
                <w:rFonts w:eastAsia="Times New Roman" w:cs="Calibri"/>
                <w:bCs/>
                <w:color w:val="000000"/>
                <w:sz w:val="18"/>
                <w:lang w:val="en-US"/>
              </w:rPr>
              <w:t>.</w:t>
            </w:r>
            <w:r w:rsidRPr="001A2BFB">
              <w:rPr>
                <w:rFonts w:eastAsia="Times New Roman" w:cs="Calibri"/>
                <w:bCs/>
                <w:color w:val="000000"/>
                <w:sz w:val="18"/>
                <w:lang w:val="en-US"/>
              </w:rPr>
              <w:t>695</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6,9</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Administrativne i pomoćne uslužne djelatnosti</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7</w:t>
            </w:r>
            <w:r w:rsidR="00C84D38">
              <w:rPr>
                <w:rFonts w:eastAsia="Times New Roman" w:cs="Calibri"/>
                <w:bCs/>
                <w:color w:val="000000"/>
                <w:sz w:val="18"/>
                <w:lang w:val="en-US"/>
              </w:rPr>
              <w:t>.</w:t>
            </w:r>
            <w:r w:rsidRPr="001A2BFB">
              <w:rPr>
                <w:rFonts w:eastAsia="Times New Roman" w:cs="Calibri"/>
                <w:bCs/>
                <w:color w:val="000000"/>
                <w:sz w:val="18"/>
                <w:lang w:val="en-US"/>
              </w:rPr>
              <w:t>734</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11,3</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Obrazovanje</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420</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0,6</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Zdravstvena i socijalna zaštita</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892</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1,3</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Umjetnost, zabava i rekreacija</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2</w:t>
            </w:r>
            <w:r w:rsidR="00C84D38">
              <w:rPr>
                <w:rFonts w:eastAsia="Times New Roman" w:cs="Calibri"/>
                <w:bCs/>
                <w:color w:val="000000"/>
                <w:sz w:val="18"/>
                <w:lang w:val="en-US"/>
              </w:rPr>
              <w:t>.</w:t>
            </w:r>
            <w:r w:rsidRPr="001A2BFB">
              <w:rPr>
                <w:rFonts w:eastAsia="Times New Roman" w:cs="Calibri"/>
                <w:bCs/>
                <w:color w:val="000000"/>
                <w:sz w:val="18"/>
                <w:lang w:val="en-US"/>
              </w:rPr>
              <w:t>006</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2,9</w:t>
            </w:r>
          </w:p>
        </w:tc>
      </w:tr>
      <w:tr w:rsidR="001A2BFB" w:rsidRPr="001A2BFB" w:rsidTr="00B060E8">
        <w:trPr>
          <w:trHeight w:val="189"/>
        </w:trPr>
        <w:tc>
          <w:tcPr>
            <w:tcW w:w="6011" w:type="dxa"/>
            <w:shd w:val="clear" w:color="auto" w:fill="auto"/>
            <w:noWrap/>
            <w:vAlign w:val="center"/>
            <w:hideMark/>
          </w:tcPr>
          <w:p w:rsidR="001A2BFB" w:rsidRPr="001A2BFB" w:rsidRDefault="001A2BFB" w:rsidP="001A2BFB">
            <w:pPr>
              <w:rPr>
                <w:rFonts w:eastAsia="Times New Roman" w:cs="Calibri"/>
                <w:bCs/>
                <w:color w:val="000000"/>
                <w:sz w:val="18"/>
                <w:lang w:val="en-US"/>
              </w:rPr>
            </w:pPr>
            <w:r w:rsidRPr="001A2BFB">
              <w:rPr>
                <w:rFonts w:eastAsia="Times New Roman" w:cs="Calibri"/>
                <w:bCs/>
                <w:color w:val="000000"/>
                <w:sz w:val="18"/>
                <w:lang w:val="en-US"/>
              </w:rPr>
              <w:t>Ostale uslužne djelatnosti</w:t>
            </w:r>
          </w:p>
        </w:tc>
        <w:tc>
          <w:tcPr>
            <w:tcW w:w="122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769</w:t>
            </w:r>
          </w:p>
        </w:tc>
        <w:tc>
          <w:tcPr>
            <w:tcW w:w="1054" w:type="dxa"/>
            <w:shd w:val="clear" w:color="auto" w:fill="auto"/>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1,1</w:t>
            </w:r>
          </w:p>
        </w:tc>
      </w:tr>
      <w:tr w:rsidR="001A2BFB" w:rsidRPr="001A2BFB" w:rsidTr="00B060E8">
        <w:trPr>
          <w:trHeight w:val="189"/>
        </w:trPr>
        <w:tc>
          <w:tcPr>
            <w:tcW w:w="6011" w:type="dxa"/>
            <w:shd w:val="clear" w:color="auto" w:fill="FFD966" w:themeFill="accent4" w:themeFillTint="99"/>
            <w:noWrap/>
            <w:vAlign w:val="center"/>
            <w:hideMark/>
          </w:tcPr>
          <w:p w:rsidR="001A2BFB" w:rsidRPr="001A2BFB" w:rsidRDefault="001A2BFB" w:rsidP="00767812">
            <w:pPr>
              <w:rPr>
                <w:rFonts w:eastAsia="Times New Roman" w:cs="Calibri"/>
                <w:bCs/>
                <w:color w:val="000000"/>
                <w:sz w:val="18"/>
                <w:lang w:val="en-US"/>
              </w:rPr>
            </w:pPr>
            <w:r w:rsidRPr="001A2BFB">
              <w:rPr>
                <w:rFonts w:eastAsia="Times New Roman" w:cs="Calibri"/>
                <w:bCs/>
                <w:color w:val="000000"/>
                <w:sz w:val="18"/>
                <w:lang w:val="en-US"/>
              </w:rPr>
              <w:t>Ukupno</w:t>
            </w:r>
          </w:p>
        </w:tc>
        <w:tc>
          <w:tcPr>
            <w:tcW w:w="1224" w:type="dxa"/>
            <w:shd w:val="clear" w:color="auto" w:fill="FFD966" w:themeFill="accent4" w:themeFillTint="99"/>
            <w:noWrap/>
            <w:vAlign w:val="center"/>
            <w:hideMark/>
          </w:tcPr>
          <w:p w:rsidR="001A2BFB" w:rsidRPr="001A2BFB" w:rsidRDefault="001A2BFB" w:rsidP="001A2BFB">
            <w:pPr>
              <w:jc w:val="right"/>
              <w:rPr>
                <w:rFonts w:eastAsia="Times New Roman" w:cs="Calibri"/>
                <w:bCs/>
                <w:color w:val="000000"/>
                <w:sz w:val="18"/>
                <w:lang w:val="en-US"/>
              </w:rPr>
            </w:pPr>
            <w:r w:rsidRPr="001A2BFB">
              <w:rPr>
                <w:rFonts w:eastAsia="Times New Roman" w:cs="Calibri"/>
                <w:bCs/>
                <w:color w:val="000000"/>
                <w:sz w:val="18"/>
                <w:lang w:val="en-US"/>
              </w:rPr>
              <w:t>68</w:t>
            </w:r>
            <w:r w:rsidR="00C84D38">
              <w:rPr>
                <w:rFonts w:eastAsia="Times New Roman" w:cs="Calibri"/>
                <w:bCs/>
                <w:color w:val="000000"/>
                <w:sz w:val="18"/>
                <w:lang w:val="en-US"/>
              </w:rPr>
              <w:t>.</w:t>
            </w:r>
            <w:r w:rsidRPr="001A2BFB">
              <w:rPr>
                <w:rFonts w:eastAsia="Times New Roman" w:cs="Calibri"/>
                <w:bCs/>
                <w:color w:val="000000"/>
                <w:sz w:val="18"/>
                <w:lang w:val="en-US"/>
              </w:rPr>
              <w:t>538</w:t>
            </w:r>
          </w:p>
        </w:tc>
        <w:tc>
          <w:tcPr>
            <w:tcW w:w="1054" w:type="dxa"/>
            <w:shd w:val="clear" w:color="auto" w:fill="FFD966" w:themeFill="accent4" w:themeFillTint="99"/>
            <w:noWrap/>
            <w:vAlign w:val="center"/>
            <w:hideMark/>
          </w:tcPr>
          <w:p w:rsidR="001A2BFB" w:rsidRPr="001A2BFB" w:rsidRDefault="001A2BFB" w:rsidP="00AA426D">
            <w:pPr>
              <w:jc w:val="right"/>
              <w:rPr>
                <w:rFonts w:eastAsia="Times New Roman" w:cs="Calibri"/>
                <w:bCs/>
                <w:color w:val="000000"/>
                <w:sz w:val="18"/>
                <w:lang w:val="en-US"/>
              </w:rPr>
            </w:pPr>
            <w:r w:rsidRPr="001A2BFB">
              <w:rPr>
                <w:rFonts w:eastAsia="Times New Roman" w:cs="Calibri"/>
                <w:bCs/>
                <w:color w:val="000000"/>
                <w:sz w:val="18"/>
                <w:lang w:val="en-US"/>
              </w:rPr>
              <w:t> </w:t>
            </w:r>
            <w:r w:rsidR="00AA426D">
              <w:rPr>
                <w:rFonts w:eastAsia="Times New Roman" w:cs="Calibri"/>
                <w:bCs/>
                <w:color w:val="000000"/>
                <w:sz w:val="18"/>
                <w:lang w:val="en-US"/>
              </w:rPr>
              <w:t>100,0</w:t>
            </w:r>
          </w:p>
        </w:tc>
      </w:tr>
    </w:tbl>
    <w:p w:rsidR="001A2BFB" w:rsidRPr="006A529A" w:rsidRDefault="001A2BFB" w:rsidP="001A2BFB">
      <w:pPr>
        <w:jc w:val="right"/>
        <w:rPr>
          <w:i/>
          <w:iCs/>
          <w:color w:val="000000" w:themeColor="text1"/>
          <w:sz w:val="18"/>
        </w:rPr>
      </w:pPr>
      <w:r w:rsidRPr="006A529A">
        <w:rPr>
          <w:i/>
          <w:iCs/>
          <w:color w:val="000000" w:themeColor="text1"/>
          <w:sz w:val="18"/>
        </w:rPr>
        <w:t>Izvor: Crnogorska privreda 2020, Privredna Komora Crne Gore</w:t>
      </w:r>
    </w:p>
    <w:p w:rsidR="001A2BFB" w:rsidRDefault="001A2BFB" w:rsidP="00DE28B8">
      <w:pPr>
        <w:jc w:val="both"/>
        <w:rPr>
          <w:rFonts w:eastAsia="Times New Roman"/>
          <w:color w:val="000000"/>
          <w:szCs w:val="20"/>
          <w:lang w:eastAsia="sl-SI"/>
        </w:rPr>
      </w:pPr>
    </w:p>
    <w:p w:rsidR="00C869E5" w:rsidRPr="00603E25" w:rsidRDefault="006076DB" w:rsidP="00DE28B8">
      <w:pPr>
        <w:jc w:val="both"/>
        <w:rPr>
          <w:rFonts w:eastAsia="Times New Roman"/>
          <w:color w:val="000000"/>
          <w:sz w:val="22"/>
          <w:szCs w:val="20"/>
          <w:lang w:eastAsia="sl-SI"/>
        </w:rPr>
      </w:pPr>
      <w:r>
        <w:rPr>
          <w:rFonts w:eastAsia="Times New Roman"/>
          <w:color w:val="000000"/>
          <w:sz w:val="22"/>
          <w:szCs w:val="20"/>
          <w:lang w:eastAsia="sl-SI"/>
        </w:rPr>
        <w:t>S o</w:t>
      </w:r>
      <w:r w:rsidR="00C869E5" w:rsidRPr="00603E25">
        <w:rPr>
          <w:rFonts w:eastAsia="Times New Roman"/>
          <w:color w:val="000000"/>
          <w:sz w:val="22"/>
          <w:szCs w:val="20"/>
          <w:lang w:eastAsia="sl-SI"/>
        </w:rPr>
        <w:t>bzirom na resurse i potencijal kojima raspolaže Podgorica, veoma mali procenat registrovane zaposlenosti se odnosi na poljoprivred</w:t>
      </w:r>
      <w:r w:rsidR="000C2CFD">
        <w:rPr>
          <w:rFonts w:eastAsia="Times New Roman"/>
          <w:color w:val="000000"/>
          <w:sz w:val="22"/>
          <w:szCs w:val="20"/>
          <w:lang w:eastAsia="sl-SI"/>
        </w:rPr>
        <w:t>u</w:t>
      </w:r>
      <w:r w:rsidR="00C869E5" w:rsidRPr="00603E25">
        <w:rPr>
          <w:rFonts w:eastAsia="Times New Roman"/>
          <w:color w:val="000000"/>
          <w:sz w:val="22"/>
          <w:szCs w:val="20"/>
          <w:lang w:eastAsia="sl-SI"/>
        </w:rPr>
        <w:t xml:space="preserve"> i prerađivačk</w:t>
      </w:r>
      <w:r w:rsidR="000C2CFD">
        <w:rPr>
          <w:rFonts w:eastAsia="Times New Roman"/>
          <w:color w:val="000000"/>
          <w:sz w:val="22"/>
          <w:szCs w:val="20"/>
          <w:lang w:eastAsia="sl-SI"/>
        </w:rPr>
        <w:t>u</w:t>
      </w:r>
      <w:r w:rsidR="00C869E5" w:rsidRPr="00603E25">
        <w:rPr>
          <w:rFonts w:eastAsia="Times New Roman"/>
          <w:color w:val="000000"/>
          <w:sz w:val="22"/>
          <w:szCs w:val="20"/>
          <w:lang w:eastAsia="sl-SI"/>
        </w:rPr>
        <w:t xml:space="preserve"> industrij</w:t>
      </w:r>
      <w:r w:rsidR="000C2CFD">
        <w:rPr>
          <w:rFonts w:eastAsia="Times New Roman"/>
          <w:color w:val="000000"/>
          <w:sz w:val="22"/>
          <w:szCs w:val="20"/>
          <w:lang w:eastAsia="sl-SI"/>
        </w:rPr>
        <w:t>u</w:t>
      </w:r>
      <w:r w:rsidR="00C869E5" w:rsidRPr="00603E25">
        <w:rPr>
          <w:rFonts w:eastAsia="Times New Roman"/>
          <w:color w:val="000000"/>
          <w:sz w:val="22"/>
          <w:szCs w:val="20"/>
          <w:lang w:eastAsia="sl-SI"/>
        </w:rPr>
        <w:t xml:space="preserve">. Postoji veliki prostor u zapošljavanju u </w:t>
      </w:r>
      <w:r w:rsidR="000C2CFD">
        <w:rPr>
          <w:rFonts w:eastAsia="Times New Roman"/>
          <w:color w:val="000000"/>
          <w:sz w:val="22"/>
          <w:szCs w:val="20"/>
          <w:lang w:eastAsia="sl-SI"/>
        </w:rPr>
        <w:t>napomenutim</w:t>
      </w:r>
      <w:r w:rsidR="00C869E5" w:rsidRPr="00603E25">
        <w:rPr>
          <w:rFonts w:eastAsia="Times New Roman"/>
          <w:color w:val="000000"/>
          <w:sz w:val="22"/>
          <w:szCs w:val="20"/>
          <w:lang w:eastAsia="sl-SI"/>
        </w:rPr>
        <w:t xml:space="preserve"> </w:t>
      </w:r>
      <w:r w:rsidR="000C2CFD">
        <w:rPr>
          <w:rFonts w:eastAsia="Times New Roman"/>
          <w:color w:val="000000"/>
          <w:sz w:val="22"/>
          <w:szCs w:val="20"/>
          <w:lang w:eastAsia="sl-SI"/>
        </w:rPr>
        <w:t>djelatnostima</w:t>
      </w:r>
      <w:r w:rsidR="00C869E5" w:rsidRPr="00603E25">
        <w:rPr>
          <w:rFonts w:eastAsia="Times New Roman"/>
          <w:color w:val="000000"/>
          <w:sz w:val="22"/>
          <w:szCs w:val="20"/>
          <w:lang w:eastAsia="sl-SI"/>
        </w:rPr>
        <w:t xml:space="preserve">, ali i u drugim </w:t>
      </w:r>
      <w:r w:rsidR="000C2CFD">
        <w:rPr>
          <w:rFonts w:eastAsia="Times New Roman"/>
          <w:color w:val="000000"/>
          <w:sz w:val="22"/>
          <w:szCs w:val="20"/>
          <w:lang w:eastAsia="sl-SI"/>
        </w:rPr>
        <w:t>djelatnostima</w:t>
      </w:r>
      <w:r w:rsidR="006A39F1" w:rsidRPr="00603E25">
        <w:rPr>
          <w:rFonts w:eastAsia="Times New Roman"/>
          <w:color w:val="000000"/>
          <w:sz w:val="22"/>
          <w:szCs w:val="20"/>
          <w:lang w:eastAsia="sl-SI"/>
        </w:rPr>
        <w:t xml:space="preserve"> </w:t>
      </w:r>
      <w:r w:rsidR="000C2CFD">
        <w:rPr>
          <w:rFonts w:eastAsia="Times New Roman"/>
          <w:color w:val="000000"/>
          <w:sz w:val="22"/>
          <w:szCs w:val="20"/>
          <w:lang w:eastAsia="sl-SI"/>
        </w:rPr>
        <w:t xml:space="preserve">u kojima </w:t>
      </w:r>
      <w:r w:rsidR="006A39F1" w:rsidRPr="00603E25">
        <w:rPr>
          <w:rFonts w:eastAsia="Times New Roman"/>
          <w:color w:val="000000"/>
          <w:sz w:val="22"/>
          <w:szCs w:val="20"/>
          <w:lang w:eastAsia="sl-SI"/>
        </w:rPr>
        <w:t>radi manji procenat zaposlenih (</w:t>
      </w:r>
      <w:r w:rsidR="00F56DA8">
        <w:rPr>
          <w:rFonts w:eastAsia="Times New Roman"/>
          <w:color w:val="000000"/>
          <w:sz w:val="22"/>
          <w:szCs w:val="20"/>
          <w:lang w:eastAsia="sl-SI"/>
        </w:rPr>
        <w:t>U</w:t>
      </w:r>
      <w:r w:rsidR="000C2CFD">
        <w:rPr>
          <w:rFonts w:eastAsia="Times New Roman"/>
          <w:color w:val="000000"/>
          <w:sz w:val="22"/>
          <w:szCs w:val="20"/>
          <w:lang w:eastAsia="sl-SI"/>
        </w:rPr>
        <w:t xml:space="preserve">sluge smještaja i ishrane, </w:t>
      </w:r>
      <w:r w:rsidR="00F56DA8">
        <w:rPr>
          <w:rFonts w:eastAsia="Times New Roman"/>
          <w:color w:val="000000"/>
          <w:sz w:val="22"/>
          <w:szCs w:val="20"/>
          <w:lang w:eastAsia="sl-SI"/>
        </w:rPr>
        <w:t>I</w:t>
      </w:r>
      <w:r w:rsidR="00B74C36">
        <w:rPr>
          <w:rFonts w:eastAsia="Times New Roman"/>
          <w:color w:val="000000"/>
          <w:sz w:val="22"/>
          <w:szCs w:val="20"/>
          <w:lang w:eastAsia="sl-SI"/>
        </w:rPr>
        <w:t>nformisanje i komunikacije</w:t>
      </w:r>
      <w:r w:rsidR="006A39F1" w:rsidRPr="00603E25">
        <w:rPr>
          <w:rFonts w:eastAsia="Times New Roman"/>
          <w:color w:val="000000"/>
          <w:sz w:val="22"/>
          <w:szCs w:val="20"/>
          <w:lang w:eastAsia="sl-SI"/>
        </w:rPr>
        <w:t xml:space="preserve">, </w:t>
      </w:r>
      <w:r w:rsidR="00F56DA8">
        <w:rPr>
          <w:rFonts w:eastAsia="Times New Roman"/>
          <w:color w:val="000000"/>
          <w:sz w:val="22"/>
          <w:szCs w:val="20"/>
          <w:lang w:eastAsia="sl-SI"/>
        </w:rPr>
        <w:t>O</w:t>
      </w:r>
      <w:r w:rsidR="006A39F1" w:rsidRPr="00603E25">
        <w:rPr>
          <w:rFonts w:eastAsia="Times New Roman"/>
          <w:color w:val="000000"/>
          <w:sz w:val="22"/>
          <w:szCs w:val="20"/>
          <w:lang w:eastAsia="sl-SI"/>
        </w:rPr>
        <w:t xml:space="preserve">stale uslužne djelatnosti i drugo).  </w:t>
      </w:r>
    </w:p>
    <w:p w:rsidR="00C869E5" w:rsidRDefault="00C869E5" w:rsidP="00DE28B8">
      <w:pPr>
        <w:jc w:val="both"/>
        <w:rPr>
          <w:rFonts w:eastAsia="Times New Roman"/>
          <w:color w:val="000000"/>
          <w:szCs w:val="20"/>
          <w:lang w:eastAsia="sl-SI"/>
        </w:rPr>
      </w:pPr>
    </w:p>
    <w:p w:rsidR="00644C94" w:rsidRDefault="00F36F4A" w:rsidP="00DE28B8">
      <w:pPr>
        <w:jc w:val="both"/>
        <w:rPr>
          <w:color w:val="000000" w:themeColor="text1"/>
          <w:szCs w:val="20"/>
        </w:rPr>
      </w:pPr>
      <w:r w:rsidRPr="005B3176">
        <w:rPr>
          <w:color w:val="000000" w:themeColor="text1"/>
          <w:szCs w:val="20"/>
        </w:rPr>
        <w:t>Grafik</w:t>
      </w:r>
      <w:r w:rsidR="00595AD8">
        <w:rPr>
          <w:color w:val="000000" w:themeColor="text1"/>
          <w:szCs w:val="20"/>
        </w:rPr>
        <w:t xml:space="preserve"> 7</w:t>
      </w:r>
      <w:r w:rsidRPr="005B3176">
        <w:rPr>
          <w:color w:val="000000" w:themeColor="text1"/>
          <w:szCs w:val="20"/>
        </w:rPr>
        <w:t>: Broj penzionera i broj zaposlenih, 2011-2019</w:t>
      </w:r>
      <w:r w:rsidR="00CA632C">
        <w:rPr>
          <w:color w:val="000000" w:themeColor="text1"/>
          <w:szCs w:val="20"/>
        </w:rPr>
        <w:t>.</w:t>
      </w:r>
    </w:p>
    <w:p w:rsidR="00A84206" w:rsidRDefault="00A84206" w:rsidP="00DE28B8">
      <w:pPr>
        <w:jc w:val="both"/>
        <w:rPr>
          <w:color w:val="000000" w:themeColor="text1"/>
          <w:szCs w:val="20"/>
        </w:rPr>
      </w:pPr>
    </w:p>
    <w:p w:rsidR="00B74C36" w:rsidRDefault="00B74C36" w:rsidP="00DE28B8">
      <w:pPr>
        <w:jc w:val="both"/>
        <w:rPr>
          <w:color w:val="000000" w:themeColor="text1"/>
          <w:szCs w:val="20"/>
        </w:rPr>
      </w:pPr>
      <w:r>
        <w:rPr>
          <w:noProof/>
          <w:lang w:val="en-US"/>
        </w:rPr>
        <w:drawing>
          <wp:inline distT="0" distB="0" distL="0" distR="0">
            <wp:extent cx="5842534" cy="1889760"/>
            <wp:effectExtent l="0" t="0" r="6350" b="15240"/>
            <wp:docPr id="20" name="Grafikon 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4949460A-AFF3-4A3A-A8ED-972E46C59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50CB" w:rsidRPr="00DE3EF7" w:rsidRDefault="002C50CB" w:rsidP="00DE28B8">
      <w:pPr>
        <w:ind w:left="6372"/>
        <w:jc w:val="both"/>
        <w:rPr>
          <w:rFonts w:cs="Arial"/>
          <w:i/>
          <w:iCs/>
          <w:sz w:val="18"/>
        </w:rPr>
      </w:pPr>
      <w:r w:rsidRPr="00DE3EF7">
        <w:rPr>
          <w:rFonts w:cs="Arial"/>
          <w:i/>
          <w:iCs/>
          <w:sz w:val="18"/>
        </w:rPr>
        <w:t>Izvor: MONSTAT, Fo</w:t>
      </w:r>
      <w:r w:rsidR="00266F07" w:rsidRPr="00DE3EF7">
        <w:rPr>
          <w:rFonts w:cs="Arial"/>
          <w:i/>
          <w:iCs/>
          <w:sz w:val="18"/>
        </w:rPr>
        <w:t>n</w:t>
      </w:r>
      <w:r w:rsidRPr="00DE3EF7">
        <w:rPr>
          <w:rFonts w:cs="Arial"/>
          <w:i/>
          <w:iCs/>
          <w:sz w:val="18"/>
        </w:rPr>
        <w:t>d PIO</w:t>
      </w:r>
    </w:p>
    <w:p w:rsidR="00C54BDC" w:rsidRDefault="00C54BDC" w:rsidP="00DE28B8">
      <w:pPr>
        <w:ind w:left="6372"/>
        <w:jc w:val="both"/>
        <w:rPr>
          <w:rFonts w:cs="Arial"/>
          <w:sz w:val="18"/>
        </w:rPr>
      </w:pPr>
    </w:p>
    <w:p w:rsidR="00C54BDC" w:rsidRPr="00603E25" w:rsidRDefault="006A39F1" w:rsidP="005526BB">
      <w:pPr>
        <w:jc w:val="both"/>
        <w:rPr>
          <w:rFonts w:cs="Arial"/>
          <w:sz w:val="22"/>
        </w:rPr>
      </w:pPr>
      <w:r w:rsidRPr="00603E25">
        <w:rPr>
          <w:rFonts w:cs="Arial"/>
          <w:sz w:val="22"/>
        </w:rPr>
        <w:t xml:space="preserve">Dodatni pokazatelj stanja na lokalnom tržištu rada i uopšte stanja u lokalnoj privredi je odnos između broja zaposlenih i broja penzionera. </w:t>
      </w:r>
      <w:r w:rsidR="00F21D92" w:rsidRPr="00603E25">
        <w:rPr>
          <w:rFonts w:cs="Arial"/>
          <w:sz w:val="22"/>
        </w:rPr>
        <w:t xml:space="preserve">Tokom perioda od 2011. do 2019. u Podgorici je zabilježeno poboljšanje stanja na tržištu rada s aspekta ovog indikatora. Naime, odnos između broja zaposlenih i broja penzionera je sa 2,3 u 2011. povećan na 2,8 u 2019. godini usljed većeg rasta broja zaposlenih u odnosu na rast broja penzionera. </w:t>
      </w:r>
      <w:r w:rsidR="00744797" w:rsidRPr="00603E25">
        <w:rPr>
          <w:rFonts w:cs="Arial"/>
          <w:sz w:val="22"/>
        </w:rPr>
        <w:t xml:space="preserve">U odnosu na 2018. vrijednost ovog pokazatelja je povećana za 0,2 procentna poena. </w:t>
      </w:r>
    </w:p>
    <w:p w:rsidR="00F21D92" w:rsidRDefault="00F21D92" w:rsidP="005526BB">
      <w:pPr>
        <w:rPr>
          <w:rFonts w:cs="Arial"/>
          <w:sz w:val="18"/>
        </w:rPr>
      </w:pPr>
    </w:p>
    <w:p w:rsidR="00A01B40" w:rsidRPr="007909E6" w:rsidRDefault="00EC2702" w:rsidP="007909E6">
      <w:pPr>
        <w:pStyle w:val="Heading3"/>
      </w:pPr>
      <w:r w:rsidRPr="007909E6">
        <w:t xml:space="preserve">3.1.2 </w:t>
      </w:r>
      <w:r w:rsidR="00AB0128" w:rsidRPr="007909E6">
        <w:t>Prosječna zarada</w:t>
      </w:r>
    </w:p>
    <w:p w:rsidR="00E66767" w:rsidRPr="00744797" w:rsidRDefault="00E66767" w:rsidP="00744797">
      <w:pPr>
        <w:spacing w:line="276" w:lineRule="auto"/>
        <w:jc w:val="both"/>
        <w:rPr>
          <w:rFonts w:cs="Arial"/>
          <w:sz w:val="18"/>
        </w:rPr>
      </w:pPr>
      <w:bookmarkStart w:id="41" w:name="_Toc44873763"/>
      <w:bookmarkStart w:id="42" w:name="_Toc52644729"/>
    </w:p>
    <w:p w:rsidR="00744797" w:rsidRPr="00603E25" w:rsidRDefault="00744797" w:rsidP="005526BB">
      <w:pPr>
        <w:jc w:val="both"/>
        <w:rPr>
          <w:rFonts w:cs="Arial"/>
          <w:sz w:val="22"/>
        </w:rPr>
      </w:pPr>
      <w:r w:rsidRPr="00603E25">
        <w:rPr>
          <w:rFonts w:cs="Arial"/>
          <w:sz w:val="22"/>
        </w:rPr>
        <w:t>U periodu od 2011. do 2019. godine, prosječna neto zarada je blago povećana sa 535 EUR koliko je iznosila u 2011. na 538 EUR u 2019. godini. Iako je u posmatranom periodu neto zarada zabilježila nominalni rast, u realnim izrazima uzimajući stopu inflacije neto zarada je zabilježila pad. Na visinu zarade u najvećem procentu utiče visina zarade u sektorima u kojima je zaposlen najveći broj zaposlenih</w:t>
      </w:r>
      <w:r w:rsidR="00BA71B2" w:rsidRPr="00603E25">
        <w:rPr>
          <w:rFonts w:cs="Arial"/>
          <w:sz w:val="22"/>
        </w:rPr>
        <w:t xml:space="preserve"> u Podgorici</w:t>
      </w:r>
      <w:r w:rsidRPr="00603E25">
        <w:rPr>
          <w:rFonts w:cs="Arial"/>
          <w:sz w:val="22"/>
        </w:rPr>
        <w:t xml:space="preserve">, odnosno </w:t>
      </w:r>
      <w:r w:rsidR="00F56DA8">
        <w:rPr>
          <w:rFonts w:cs="Arial"/>
          <w:sz w:val="22"/>
        </w:rPr>
        <w:t xml:space="preserve">u </w:t>
      </w:r>
      <w:r w:rsidRPr="00603E25">
        <w:rPr>
          <w:rFonts w:cs="Arial"/>
          <w:sz w:val="22"/>
        </w:rPr>
        <w:t xml:space="preserve">sektoru trgovine, građevinarstva, administrativnih i pomoćnih uslužnih djelatnosti, kao i </w:t>
      </w:r>
      <w:r w:rsidR="00F56DA8">
        <w:rPr>
          <w:rFonts w:cs="Arial"/>
          <w:sz w:val="22"/>
        </w:rPr>
        <w:t xml:space="preserve">u </w:t>
      </w:r>
      <w:r w:rsidRPr="00603E25">
        <w:rPr>
          <w:rFonts w:cs="Arial"/>
          <w:sz w:val="22"/>
        </w:rPr>
        <w:t>sektor</w:t>
      </w:r>
      <w:r w:rsidR="00BA71B2" w:rsidRPr="00603E25">
        <w:rPr>
          <w:rFonts w:cs="Arial"/>
          <w:sz w:val="22"/>
        </w:rPr>
        <w:t>u javne up</w:t>
      </w:r>
      <w:r w:rsidR="00A84206">
        <w:rPr>
          <w:rFonts w:cs="Arial"/>
          <w:sz w:val="22"/>
        </w:rPr>
        <w:t>r</w:t>
      </w:r>
      <w:r w:rsidR="00BA71B2" w:rsidRPr="00603E25">
        <w:rPr>
          <w:rFonts w:cs="Arial"/>
          <w:sz w:val="22"/>
        </w:rPr>
        <w:t xml:space="preserve">ave u kojima su manje plaćeni poslovi u odnosu na ostale sektore i gdje je neto zarada ispod prosječne neto zarade na nivou Crne Gore. </w:t>
      </w:r>
      <w:r w:rsidRPr="00603E25">
        <w:rPr>
          <w:rFonts w:cs="Arial"/>
          <w:sz w:val="22"/>
        </w:rPr>
        <w:t xml:space="preserve"> </w:t>
      </w:r>
    </w:p>
    <w:p w:rsidR="005526BB" w:rsidRDefault="005526BB" w:rsidP="005526BB">
      <w:pPr>
        <w:jc w:val="both"/>
        <w:rPr>
          <w:rFonts w:cs="Arial"/>
          <w:sz w:val="22"/>
        </w:rPr>
      </w:pPr>
    </w:p>
    <w:p w:rsidR="00BA71B2" w:rsidRPr="00603E25" w:rsidRDefault="00BA71B2" w:rsidP="005526BB">
      <w:pPr>
        <w:jc w:val="both"/>
        <w:rPr>
          <w:rFonts w:cs="Arial"/>
          <w:sz w:val="22"/>
        </w:rPr>
      </w:pPr>
      <w:r w:rsidRPr="00603E25">
        <w:rPr>
          <w:rFonts w:cs="Arial"/>
          <w:sz w:val="22"/>
        </w:rPr>
        <w:t>Međutim, neto zarada u Podgorici je tokom cijelog analiziranog perioda bila iznad prosječne neto zarade na niv</w:t>
      </w:r>
      <w:r w:rsidR="00A84206">
        <w:rPr>
          <w:rFonts w:cs="Arial"/>
          <w:sz w:val="22"/>
        </w:rPr>
        <w:t>o</w:t>
      </w:r>
      <w:r w:rsidRPr="00603E25">
        <w:rPr>
          <w:rFonts w:cs="Arial"/>
          <w:sz w:val="22"/>
        </w:rPr>
        <w:t>u Crne Gore. U 2019. je zarada u Podgorici predstavljala 104,5% zarade na nivou Crne Gore, dok je ovaj procenat u 2011. bio na niv</w:t>
      </w:r>
      <w:r w:rsidR="00A84206">
        <w:rPr>
          <w:rFonts w:cs="Arial"/>
          <w:sz w:val="22"/>
        </w:rPr>
        <w:t>o</w:t>
      </w:r>
      <w:r w:rsidRPr="00603E25">
        <w:rPr>
          <w:rFonts w:cs="Arial"/>
          <w:sz w:val="22"/>
        </w:rPr>
        <w:t xml:space="preserve">u od 110,5%. </w:t>
      </w:r>
    </w:p>
    <w:p w:rsidR="005526BB" w:rsidRDefault="005526BB" w:rsidP="005526BB">
      <w:pPr>
        <w:jc w:val="both"/>
        <w:rPr>
          <w:rFonts w:cs="Arial"/>
          <w:sz w:val="22"/>
        </w:rPr>
      </w:pPr>
    </w:p>
    <w:p w:rsidR="00BA71B2" w:rsidRDefault="00BA71B2" w:rsidP="005526BB">
      <w:pPr>
        <w:jc w:val="both"/>
        <w:rPr>
          <w:rFonts w:cs="Arial"/>
          <w:sz w:val="22"/>
        </w:rPr>
      </w:pPr>
      <w:r w:rsidRPr="00603E25">
        <w:rPr>
          <w:rFonts w:cs="Arial"/>
          <w:sz w:val="22"/>
        </w:rPr>
        <w:t>Dodatno, tokom perioda 2011-2018. procjena platnog fonda per capita je bilježila rast. U</w:t>
      </w:r>
      <w:r w:rsidR="007E5B70" w:rsidRPr="00603E25">
        <w:rPr>
          <w:rFonts w:cs="Arial"/>
          <w:sz w:val="22"/>
        </w:rPr>
        <w:t xml:space="preserve"> 2018. platni fond per capita je iznosio 232,6 EUR, što je za 18,6% više u odnosu na 2011. godinu kada je isti bio na nivou od </w:t>
      </w:r>
      <w:r w:rsidRPr="00603E25">
        <w:rPr>
          <w:rFonts w:cs="Arial"/>
          <w:sz w:val="22"/>
        </w:rPr>
        <w:t>196,1 EUR</w:t>
      </w:r>
      <w:r w:rsidR="007E5B70" w:rsidRPr="00603E25">
        <w:rPr>
          <w:rFonts w:cs="Arial"/>
          <w:sz w:val="22"/>
        </w:rPr>
        <w:t xml:space="preserve">. </w:t>
      </w:r>
      <w:r w:rsidRPr="00603E25">
        <w:rPr>
          <w:rFonts w:cs="Arial"/>
          <w:sz w:val="22"/>
        </w:rPr>
        <w:t xml:space="preserve">Rast platnog fonda je generisan značajnim rastom broja zaposlenih </w:t>
      </w:r>
      <w:r w:rsidRPr="00603E25">
        <w:rPr>
          <w:rFonts w:cs="Arial"/>
          <w:sz w:val="22"/>
        </w:rPr>
        <w:lastRenderedPageBreak/>
        <w:t>i neznatnim rastom neto zarada, uprkos rastu broja st</w:t>
      </w:r>
      <w:r w:rsidR="00000BA2">
        <w:rPr>
          <w:rFonts w:cs="Arial"/>
          <w:sz w:val="22"/>
        </w:rPr>
        <w:t>anovnika u Podgorici. Platni fo</w:t>
      </w:r>
      <w:r w:rsidRPr="00603E25">
        <w:rPr>
          <w:rFonts w:cs="Arial"/>
          <w:sz w:val="22"/>
        </w:rPr>
        <w:t>n</w:t>
      </w:r>
      <w:r w:rsidR="00000BA2">
        <w:rPr>
          <w:rFonts w:cs="Arial"/>
          <w:sz w:val="22"/>
        </w:rPr>
        <w:t>d</w:t>
      </w:r>
      <w:r w:rsidRPr="00603E25">
        <w:rPr>
          <w:rFonts w:cs="Arial"/>
          <w:sz w:val="22"/>
        </w:rPr>
        <w:t xml:space="preserve"> per capita predstavlja 149% prosjeka Crne Gore koj</w:t>
      </w:r>
      <w:r w:rsidR="006076DB">
        <w:rPr>
          <w:rFonts w:cs="Arial"/>
          <w:sz w:val="22"/>
        </w:rPr>
        <w:t>i</w:t>
      </w:r>
      <w:r w:rsidRPr="00603E25">
        <w:rPr>
          <w:rFonts w:cs="Arial"/>
          <w:sz w:val="22"/>
        </w:rPr>
        <w:t xml:space="preserve"> je u 2018. iznosio 156,1 EUR. </w:t>
      </w:r>
    </w:p>
    <w:p w:rsidR="005526BB" w:rsidRPr="00603E25" w:rsidRDefault="005526BB" w:rsidP="005526BB">
      <w:pPr>
        <w:jc w:val="both"/>
        <w:rPr>
          <w:sz w:val="28"/>
          <w:szCs w:val="22"/>
        </w:rPr>
      </w:pPr>
    </w:p>
    <w:p w:rsidR="00A23BDD" w:rsidRDefault="00142033" w:rsidP="007909E6">
      <w:pPr>
        <w:pStyle w:val="Heading2"/>
        <w:numPr>
          <w:ilvl w:val="1"/>
          <w:numId w:val="40"/>
        </w:numPr>
        <w:spacing w:before="0"/>
        <w:ind w:hanging="462"/>
        <w:rPr>
          <w:rFonts w:cs="Arial"/>
        </w:rPr>
      </w:pPr>
      <w:bookmarkStart w:id="43" w:name="_Toc58581874"/>
      <w:bookmarkStart w:id="44" w:name="_Toc61289781"/>
      <w:bookmarkStart w:id="45" w:name="_Toc63099496"/>
      <w:r w:rsidRPr="009B3320">
        <w:rPr>
          <w:rFonts w:cs="Arial"/>
        </w:rPr>
        <w:t>Nezaposlenost</w:t>
      </w:r>
      <w:r w:rsidR="00BD67E4" w:rsidRPr="00DE3EF7">
        <w:rPr>
          <w:b w:val="0"/>
          <w:bCs/>
          <w:color w:val="auto"/>
          <w:sz w:val="22"/>
          <w:szCs w:val="22"/>
          <w:vertAlign w:val="superscript"/>
        </w:rPr>
        <w:footnoteReference w:id="10"/>
      </w:r>
      <w:bookmarkEnd w:id="41"/>
      <w:bookmarkEnd w:id="42"/>
      <w:bookmarkEnd w:id="43"/>
      <w:bookmarkEnd w:id="44"/>
      <w:bookmarkEnd w:id="45"/>
    </w:p>
    <w:p w:rsidR="00A23BDD" w:rsidRDefault="00A23BDD" w:rsidP="005526BB"/>
    <w:p w:rsidR="007909E6" w:rsidRPr="007909E6" w:rsidRDefault="007909E6" w:rsidP="007909E6">
      <w:pPr>
        <w:pStyle w:val="ListParagraph"/>
        <w:numPr>
          <w:ilvl w:val="2"/>
          <w:numId w:val="40"/>
        </w:numPr>
        <w:ind w:left="567" w:hanging="567"/>
        <w:jc w:val="both"/>
        <w:rPr>
          <w:rFonts w:cs="Arial"/>
          <w:sz w:val="22"/>
          <w:szCs w:val="22"/>
        </w:rPr>
      </w:pPr>
      <w:r w:rsidRPr="007909E6">
        <w:rPr>
          <w:rFonts w:cs="Arial"/>
          <w:sz w:val="22"/>
          <w:szCs w:val="22"/>
        </w:rPr>
        <w:t>Kretanje nezaposlenosti</w:t>
      </w:r>
    </w:p>
    <w:p w:rsidR="007909E6" w:rsidRPr="007909E6" w:rsidRDefault="007909E6" w:rsidP="007909E6">
      <w:pPr>
        <w:ind w:left="66"/>
        <w:jc w:val="both"/>
        <w:rPr>
          <w:rFonts w:cs="Arial"/>
          <w:sz w:val="22"/>
          <w:szCs w:val="22"/>
        </w:rPr>
      </w:pPr>
    </w:p>
    <w:p w:rsidR="00B77C57" w:rsidRDefault="00B77C57" w:rsidP="005526BB">
      <w:pPr>
        <w:jc w:val="both"/>
        <w:rPr>
          <w:sz w:val="22"/>
          <w:szCs w:val="20"/>
        </w:rPr>
      </w:pPr>
      <w:r>
        <w:rPr>
          <w:rFonts w:cs="Arial"/>
          <w:sz w:val="22"/>
          <w:szCs w:val="22"/>
        </w:rPr>
        <w:t xml:space="preserve">Tokom prethodnog desetogodišnjeg perioda broj nezaposlenih u Podgorici </w:t>
      </w:r>
      <w:r w:rsidR="006076DB">
        <w:rPr>
          <w:rFonts w:cs="Arial"/>
          <w:sz w:val="22"/>
          <w:szCs w:val="22"/>
        </w:rPr>
        <w:t xml:space="preserve">je </w:t>
      </w:r>
      <w:r>
        <w:rPr>
          <w:rFonts w:cs="Arial"/>
          <w:sz w:val="22"/>
          <w:szCs w:val="22"/>
        </w:rPr>
        <w:t xml:space="preserve">varirao. U periodu od 2011. do 2016. godine </w:t>
      </w:r>
      <w:r w:rsidRPr="006A529A">
        <w:rPr>
          <w:rFonts w:cs="Arial"/>
          <w:sz w:val="22"/>
          <w:szCs w:val="22"/>
        </w:rPr>
        <w:t xml:space="preserve">zabilježen </w:t>
      </w:r>
      <w:r>
        <w:rPr>
          <w:rFonts w:cs="Arial"/>
          <w:sz w:val="22"/>
          <w:szCs w:val="22"/>
        </w:rPr>
        <w:t xml:space="preserve">je </w:t>
      </w:r>
      <w:r w:rsidRPr="006A529A">
        <w:rPr>
          <w:rFonts w:cs="Arial"/>
          <w:sz w:val="22"/>
          <w:szCs w:val="22"/>
        </w:rPr>
        <w:t xml:space="preserve">značajan rast </w:t>
      </w:r>
      <w:r>
        <w:rPr>
          <w:rFonts w:cs="Arial"/>
          <w:sz w:val="22"/>
          <w:szCs w:val="22"/>
        </w:rPr>
        <w:t xml:space="preserve">registrovane nezaposlenosti, kada je broj nezaposlenih porastao za 63,6%. </w:t>
      </w:r>
      <w:r w:rsidRPr="006A529A">
        <w:rPr>
          <w:sz w:val="22"/>
          <w:szCs w:val="20"/>
        </w:rPr>
        <w:t>Vis</w:t>
      </w:r>
      <w:r>
        <w:rPr>
          <w:sz w:val="22"/>
          <w:szCs w:val="20"/>
        </w:rPr>
        <w:t>o</w:t>
      </w:r>
      <w:r w:rsidRPr="006A529A">
        <w:rPr>
          <w:sz w:val="22"/>
          <w:szCs w:val="20"/>
        </w:rPr>
        <w:t xml:space="preserve">k rast registrovane nezaposlenosti u ovom periodu se može objasniti izmjenama Zakona o socijalnoj i dječjoj zaštiti 2016. godine kojim je majkama sa troje i više djece omogućeno pravo na doživotnu naknadu, gdje je jedan od uslova za dobijanje naknade </w:t>
      </w:r>
      <w:r>
        <w:rPr>
          <w:sz w:val="22"/>
          <w:szCs w:val="20"/>
        </w:rPr>
        <w:t xml:space="preserve">bilo </w:t>
      </w:r>
      <w:r w:rsidRPr="006A529A">
        <w:rPr>
          <w:sz w:val="22"/>
          <w:szCs w:val="20"/>
        </w:rPr>
        <w:t>registrov</w:t>
      </w:r>
      <w:r>
        <w:rPr>
          <w:sz w:val="22"/>
          <w:szCs w:val="20"/>
        </w:rPr>
        <w:t xml:space="preserve">anje u evidenciji nezaposlenih. Nakon visokog rasta nezaposlenosti koji je najvećim dijelom prouzrokovan izmjenama zakonske regulative, od 2017. do 2019. broj nezaposlenih se smanjivao. U odnosu na 2016. broj nezaposlenih je u 2019. bio manji za 39,4%, tako da je bio na nešto nižem nivou u odnosu na 2011. godinu. </w:t>
      </w:r>
    </w:p>
    <w:p w:rsidR="005526BB" w:rsidRDefault="005526BB" w:rsidP="005526BB">
      <w:pPr>
        <w:jc w:val="both"/>
        <w:rPr>
          <w:sz w:val="22"/>
          <w:szCs w:val="20"/>
        </w:rPr>
      </w:pPr>
    </w:p>
    <w:p w:rsidR="00B77C57" w:rsidRPr="006A529A" w:rsidRDefault="00B77C57" w:rsidP="005526BB">
      <w:pPr>
        <w:jc w:val="both"/>
        <w:rPr>
          <w:rFonts w:cs="Arial"/>
          <w:sz w:val="22"/>
          <w:szCs w:val="22"/>
        </w:rPr>
      </w:pPr>
      <w:r>
        <w:rPr>
          <w:sz w:val="22"/>
          <w:szCs w:val="20"/>
        </w:rPr>
        <w:t>Nepovoljna ekonomska kretanja prouzrokovana pandemijom COVID-19 virusa tokom 2020. godine su uticala na pogoršanje stanja na tržištu rada. Smanjena ekonomska aktivnost i teškoće</w:t>
      </w:r>
      <w:r w:rsidR="00372146">
        <w:rPr>
          <w:sz w:val="22"/>
          <w:szCs w:val="20"/>
        </w:rPr>
        <w:t xml:space="preserve"> u poslovanju</w:t>
      </w:r>
      <w:r>
        <w:rPr>
          <w:sz w:val="22"/>
          <w:szCs w:val="20"/>
        </w:rPr>
        <w:t xml:space="preserve"> sa kojima se suočava veliki broj preduzeća</w:t>
      </w:r>
      <w:r w:rsidR="00372146">
        <w:rPr>
          <w:sz w:val="22"/>
          <w:szCs w:val="20"/>
        </w:rPr>
        <w:t xml:space="preserve"> su uticali na gubitak radnih mjesta i povećanje nezaposlenosti. </w:t>
      </w:r>
      <w:r w:rsidRPr="006A529A">
        <w:rPr>
          <w:sz w:val="22"/>
          <w:szCs w:val="20"/>
        </w:rPr>
        <w:t>Na kraju drug</w:t>
      </w:r>
      <w:r>
        <w:rPr>
          <w:sz w:val="22"/>
          <w:szCs w:val="20"/>
        </w:rPr>
        <w:t>o</w:t>
      </w:r>
      <w:r w:rsidRPr="006A529A">
        <w:rPr>
          <w:sz w:val="22"/>
          <w:szCs w:val="20"/>
        </w:rPr>
        <w:t>g kvartala 2020. registrovana nezapos</w:t>
      </w:r>
      <w:r w:rsidR="00372146">
        <w:rPr>
          <w:sz w:val="22"/>
          <w:szCs w:val="20"/>
        </w:rPr>
        <w:t>lenost je bila na nivou od 8.268</w:t>
      </w:r>
      <w:r w:rsidRPr="006A529A">
        <w:rPr>
          <w:sz w:val="22"/>
          <w:szCs w:val="20"/>
        </w:rPr>
        <w:t xml:space="preserve"> što je za </w:t>
      </w:r>
      <w:r w:rsidR="00372146">
        <w:rPr>
          <w:sz w:val="22"/>
          <w:szCs w:val="20"/>
        </w:rPr>
        <w:t>1.038 ili 14,4</w:t>
      </w:r>
      <w:r w:rsidRPr="006A529A">
        <w:rPr>
          <w:sz w:val="22"/>
          <w:szCs w:val="20"/>
        </w:rPr>
        <w:t xml:space="preserve">% više u odnosu na kraj 2019. godine. </w:t>
      </w:r>
    </w:p>
    <w:p w:rsidR="00DE3EF7" w:rsidRDefault="00DE3EF7" w:rsidP="005526BB">
      <w:pPr>
        <w:jc w:val="both"/>
        <w:rPr>
          <w:rFonts w:cs="Arial"/>
          <w:szCs w:val="20"/>
        </w:rPr>
      </w:pPr>
    </w:p>
    <w:p w:rsidR="00B87F88" w:rsidRDefault="00B87F88" w:rsidP="005526BB">
      <w:pPr>
        <w:jc w:val="both"/>
        <w:rPr>
          <w:rFonts w:cs="Arial"/>
          <w:szCs w:val="20"/>
        </w:rPr>
      </w:pPr>
      <w:r w:rsidRPr="005B3176">
        <w:rPr>
          <w:rFonts w:cs="Arial"/>
          <w:szCs w:val="20"/>
        </w:rPr>
        <w:t>Grafik</w:t>
      </w:r>
      <w:r w:rsidR="00D62334" w:rsidRPr="005B3176">
        <w:rPr>
          <w:rFonts w:cs="Arial"/>
          <w:szCs w:val="20"/>
        </w:rPr>
        <w:t xml:space="preserve"> </w:t>
      </w:r>
      <w:r w:rsidR="00595AD8">
        <w:rPr>
          <w:rFonts w:cs="Arial"/>
          <w:szCs w:val="20"/>
        </w:rPr>
        <w:t>8</w:t>
      </w:r>
      <w:r w:rsidR="00B77C57">
        <w:rPr>
          <w:rFonts w:cs="Arial"/>
          <w:szCs w:val="20"/>
        </w:rPr>
        <w:t>: Broj nezaposlenih lica, 2011</w:t>
      </w:r>
      <w:r w:rsidRPr="005B3176">
        <w:rPr>
          <w:rFonts w:cs="Arial"/>
          <w:szCs w:val="20"/>
        </w:rPr>
        <w:t>-</w:t>
      </w:r>
      <w:r w:rsidR="00F047AC">
        <w:rPr>
          <w:rFonts w:cs="Arial"/>
          <w:szCs w:val="20"/>
        </w:rPr>
        <w:t xml:space="preserve"> VI </w:t>
      </w:r>
      <w:r w:rsidR="000C235F" w:rsidRPr="005B3176">
        <w:rPr>
          <w:rFonts w:cs="Arial"/>
          <w:szCs w:val="20"/>
        </w:rPr>
        <w:t>2020.</w:t>
      </w:r>
      <w:r w:rsidR="00222567">
        <w:rPr>
          <w:rFonts w:cs="Arial"/>
          <w:szCs w:val="20"/>
        </w:rPr>
        <w:t xml:space="preserve"> </w:t>
      </w:r>
      <w:r w:rsidR="00FA73E2" w:rsidRPr="006B71DC">
        <w:rPr>
          <w:rFonts w:eastAsia="Cambria" w:cs="Arial"/>
          <w:color w:val="000000" w:themeColor="text1"/>
          <w:kern w:val="24"/>
          <w:szCs w:val="20"/>
        </w:rPr>
        <w:t xml:space="preserve">(Biro rada Podgorica </w:t>
      </w:r>
      <w:r w:rsidR="00F51C9E">
        <w:rPr>
          <w:rFonts w:eastAsia="Cambria" w:cs="Arial"/>
          <w:color w:val="000000" w:themeColor="text1"/>
          <w:kern w:val="24"/>
          <w:szCs w:val="20"/>
        </w:rPr>
        <w:t>i</w:t>
      </w:r>
      <w:r w:rsidR="00FA73E2" w:rsidRPr="006B71DC">
        <w:rPr>
          <w:rFonts w:eastAsia="Cambria" w:cs="Arial"/>
          <w:color w:val="000000" w:themeColor="text1"/>
          <w:kern w:val="24"/>
          <w:szCs w:val="20"/>
        </w:rPr>
        <w:t xml:space="preserve"> Biro rada Golubovci)</w:t>
      </w:r>
    </w:p>
    <w:p w:rsidR="00A84206" w:rsidRDefault="00A84206" w:rsidP="005526BB">
      <w:pPr>
        <w:jc w:val="both"/>
        <w:rPr>
          <w:rFonts w:cs="Arial"/>
          <w:szCs w:val="20"/>
        </w:rPr>
      </w:pPr>
    </w:p>
    <w:p w:rsidR="00B778BD" w:rsidRDefault="008C5E33" w:rsidP="005526BB">
      <w:pPr>
        <w:jc w:val="center"/>
        <w:rPr>
          <w:rFonts w:cs="Arial"/>
          <w:szCs w:val="20"/>
        </w:rPr>
      </w:pPr>
      <w:r>
        <w:rPr>
          <w:noProof/>
          <w:lang w:val="en-US"/>
        </w:rPr>
        <w:drawing>
          <wp:inline distT="0" distB="0" distL="0" distR="0">
            <wp:extent cx="5660056" cy="1767840"/>
            <wp:effectExtent l="0" t="0" r="0" b="3810"/>
            <wp:docPr id="22" name="Grafikon 2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71C5CFA7-C329-478C-94E9-09EA24E289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47AC" w:rsidRPr="00DE3EF7" w:rsidRDefault="00F047AC" w:rsidP="005526BB">
      <w:pPr>
        <w:jc w:val="right"/>
        <w:rPr>
          <w:rFonts w:cs="Arial"/>
          <w:i/>
          <w:iCs/>
          <w:sz w:val="18"/>
        </w:rPr>
      </w:pPr>
      <w:bookmarkStart w:id="46" w:name="_Hlk63784850"/>
      <w:r w:rsidRPr="00DE3EF7">
        <w:rPr>
          <w:rFonts w:cs="Arial"/>
          <w:i/>
          <w:iCs/>
          <w:sz w:val="18"/>
        </w:rPr>
        <w:t>Izvor: Zavod za zapošljavanje Crne Gore, Izvještaj o radu 2011-2020.</w:t>
      </w:r>
    </w:p>
    <w:bookmarkEnd w:id="46"/>
    <w:p w:rsidR="00F047AC" w:rsidRDefault="00F047AC" w:rsidP="005526BB">
      <w:pPr>
        <w:jc w:val="both"/>
        <w:rPr>
          <w:rFonts w:cs="Arial"/>
          <w:szCs w:val="20"/>
        </w:rPr>
      </w:pPr>
    </w:p>
    <w:p w:rsidR="00372146" w:rsidRPr="006A529A" w:rsidRDefault="00372146" w:rsidP="005526BB">
      <w:pPr>
        <w:jc w:val="both"/>
        <w:rPr>
          <w:color w:val="000000" w:themeColor="text1"/>
          <w:sz w:val="22"/>
          <w:szCs w:val="22"/>
        </w:rPr>
      </w:pPr>
      <w:r w:rsidRPr="006A529A">
        <w:rPr>
          <w:color w:val="000000" w:themeColor="text1"/>
          <w:sz w:val="22"/>
          <w:szCs w:val="22"/>
        </w:rPr>
        <w:t>Na kraju 2019. registrovana ne</w:t>
      </w:r>
      <w:r>
        <w:rPr>
          <w:color w:val="000000" w:themeColor="text1"/>
          <w:sz w:val="22"/>
          <w:szCs w:val="22"/>
        </w:rPr>
        <w:t>zaposlenost je predstavljala 3,5</w:t>
      </w:r>
      <w:r w:rsidRPr="006A529A">
        <w:rPr>
          <w:color w:val="000000" w:themeColor="text1"/>
          <w:sz w:val="22"/>
          <w:szCs w:val="22"/>
        </w:rPr>
        <w:t xml:space="preserve">% ukupnog broja stanovnika u </w:t>
      </w:r>
      <w:r>
        <w:rPr>
          <w:color w:val="000000" w:themeColor="text1"/>
          <w:sz w:val="22"/>
          <w:szCs w:val="22"/>
        </w:rPr>
        <w:t>Podgorici</w:t>
      </w:r>
      <w:r w:rsidRPr="006A529A">
        <w:rPr>
          <w:color w:val="000000" w:themeColor="text1"/>
          <w:sz w:val="22"/>
          <w:szCs w:val="22"/>
        </w:rPr>
        <w:t xml:space="preserve">, što je </w:t>
      </w:r>
      <w:r>
        <w:rPr>
          <w:color w:val="000000" w:themeColor="text1"/>
          <w:sz w:val="22"/>
          <w:szCs w:val="22"/>
        </w:rPr>
        <w:t>niže u odnosu na Središnji region (4,4%)</w:t>
      </w:r>
      <w:r w:rsidRPr="006A529A">
        <w:rPr>
          <w:color w:val="000000" w:themeColor="text1"/>
          <w:sz w:val="22"/>
          <w:szCs w:val="22"/>
        </w:rPr>
        <w:t xml:space="preserve"> i u odnosu na nacionalni nivo (6,1%). </w:t>
      </w:r>
    </w:p>
    <w:p w:rsidR="00372146" w:rsidRDefault="00372146" w:rsidP="005526BB">
      <w:pPr>
        <w:jc w:val="both"/>
        <w:rPr>
          <w:rFonts w:cs="Arial"/>
          <w:szCs w:val="20"/>
        </w:rPr>
      </w:pPr>
    </w:p>
    <w:p w:rsidR="00D35D39" w:rsidRPr="007909E6" w:rsidRDefault="00D35D39" w:rsidP="007909E6">
      <w:pPr>
        <w:pStyle w:val="Heading3"/>
      </w:pPr>
      <w:r w:rsidRPr="007909E6">
        <w:t>3.</w:t>
      </w:r>
      <w:r w:rsidR="007909E6" w:rsidRPr="007909E6">
        <w:t>2</w:t>
      </w:r>
      <w:r w:rsidRPr="007909E6">
        <w:t>.</w:t>
      </w:r>
      <w:r w:rsidR="007909E6">
        <w:t>2</w:t>
      </w:r>
      <w:r w:rsidRPr="007909E6">
        <w:t xml:space="preserve"> Strukturne karakteristike nezaposlenih lica prijavljenih na Birou rada </w:t>
      </w:r>
      <w:r w:rsidR="00372146" w:rsidRPr="007909E6">
        <w:t>Podgorica</w:t>
      </w:r>
    </w:p>
    <w:p w:rsidR="009C7950" w:rsidRDefault="009C7950" w:rsidP="005526BB">
      <w:pPr>
        <w:jc w:val="both"/>
        <w:rPr>
          <w:rFonts w:cs="Arial"/>
          <w:color w:val="000000" w:themeColor="text1"/>
          <w:sz w:val="22"/>
          <w:szCs w:val="22"/>
        </w:rPr>
      </w:pPr>
    </w:p>
    <w:p w:rsidR="009C571A" w:rsidRDefault="009C7950" w:rsidP="005526BB">
      <w:pPr>
        <w:jc w:val="both"/>
        <w:rPr>
          <w:rFonts w:cs="Arial"/>
          <w:color w:val="000000" w:themeColor="text1"/>
          <w:sz w:val="22"/>
          <w:szCs w:val="22"/>
        </w:rPr>
      </w:pPr>
      <w:r>
        <w:rPr>
          <w:rFonts w:cs="Arial"/>
          <w:color w:val="000000" w:themeColor="text1"/>
          <w:sz w:val="22"/>
          <w:szCs w:val="22"/>
        </w:rPr>
        <w:t xml:space="preserve">U nastavku je data analiza strukture nezaposlenosti sa različitih aspekata u cilju detaljnog sagledavanja ovog problema lokalnog tržišta rada. </w:t>
      </w:r>
    </w:p>
    <w:p w:rsidR="009C7950" w:rsidRPr="00372146" w:rsidRDefault="009C7950" w:rsidP="005526BB">
      <w:pPr>
        <w:jc w:val="both"/>
        <w:rPr>
          <w:rFonts w:cs="Arial"/>
          <w:iCs/>
          <w:color w:val="000000" w:themeColor="text1"/>
          <w:sz w:val="22"/>
          <w:szCs w:val="22"/>
        </w:rPr>
      </w:pPr>
    </w:p>
    <w:p w:rsidR="00CB0A83" w:rsidRPr="00FC2D96" w:rsidRDefault="00CB0A83" w:rsidP="005526BB">
      <w:pPr>
        <w:jc w:val="both"/>
        <w:rPr>
          <w:rFonts w:cs="Arial"/>
          <w:bCs/>
          <w:i/>
          <w:iCs/>
          <w:color w:val="000000" w:themeColor="text1"/>
          <w:sz w:val="22"/>
          <w:szCs w:val="22"/>
        </w:rPr>
      </w:pPr>
      <w:r w:rsidRPr="00FC2D96">
        <w:rPr>
          <w:rFonts w:cs="Arial"/>
          <w:bCs/>
          <w:i/>
          <w:iCs/>
          <w:color w:val="000000" w:themeColor="text1"/>
          <w:sz w:val="22"/>
          <w:szCs w:val="22"/>
        </w:rPr>
        <w:t>Nezaposlen</w:t>
      </w:r>
      <w:r w:rsidR="00FC2D96">
        <w:rPr>
          <w:rFonts w:cs="Arial"/>
          <w:bCs/>
          <w:i/>
          <w:iCs/>
          <w:color w:val="000000" w:themeColor="text1"/>
          <w:sz w:val="22"/>
          <w:szCs w:val="22"/>
        </w:rPr>
        <w:t>ost</w:t>
      </w:r>
      <w:r w:rsidRPr="00FC2D96">
        <w:rPr>
          <w:rFonts w:cs="Arial"/>
          <w:bCs/>
          <w:i/>
          <w:iCs/>
          <w:color w:val="000000" w:themeColor="text1"/>
          <w:sz w:val="22"/>
          <w:szCs w:val="22"/>
        </w:rPr>
        <w:t xml:space="preserve"> žen</w:t>
      </w:r>
      <w:r w:rsidR="00FC2D96">
        <w:rPr>
          <w:rFonts w:cs="Arial"/>
          <w:bCs/>
          <w:i/>
          <w:iCs/>
          <w:color w:val="000000" w:themeColor="text1"/>
          <w:sz w:val="22"/>
          <w:szCs w:val="22"/>
        </w:rPr>
        <w:t>a</w:t>
      </w:r>
      <w:r w:rsidR="00470E94" w:rsidRPr="00FC2D96">
        <w:rPr>
          <w:rFonts w:cs="Arial"/>
          <w:bCs/>
          <w:i/>
          <w:iCs/>
          <w:color w:val="000000" w:themeColor="text1"/>
          <w:sz w:val="22"/>
          <w:szCs w:val="22"/>
        </w:rPr>
        <w:t xml:space="preserve"> </w:t>
      </w:r>
    </w:p>
    <w:p w:rsidR="009C7950" w:rsidRPr="008F7284" w:rsidRDefault="009C7950" w:rsidP="005526BB">
      <w:pPr>
        <w:jc w:val="both"/>
        <w:rPr>
          <w:rFonts w:cs="Arial"/>
          <w:i/>
          <w:iCs/>
          <w:color w:val="000000" w:themeColor="text1"/>
          <w:sz w:val="22"/>
          <w:szCs w:val="22"/>
          <w:lang w:val="en-US"/>
        </w:rPr>
      </w:pPr>
    </w:p>
    <w:p w:rsidR="00F73D86" w:rsidRPr="00524E12" w:rsidRDefault="008F7284" w:rsidP="005526BB">
      <w:pPr>
        <w:jc w:val="both"/>
        <w:rPr>
          <w:rFonts w:cs="Arial"/>
          <w:iCs/>
          <w:color w:val="000000" w:themeColor="text1"/>
          <w:sz w:val="22"/>
          <w:szCs w:val="22"/>
        </w:rPr>
      </w:pPr>
      <w:r w:rsidRPr="008F7284">
        <w:rPr>
          <w:rFonts w:cs="Arial"/>
          <w:iCs/>
          <w:color w:val="000000" w:themeColor="text1"/>
          <w:sz w:val="22"/>
          <w:szCs w:val="22"/>
        </w:rPr>
        <w:t xml:space="preserve">Usljed izmjena Zakona o socijalnoj i dječijoj zaštiti broj nezaposlenih žena je </w:t>
      </w:r>
      <w:r w:rsidR="00F73D86">
        <w:rPr>
          <w:rFonts w:cs="Arial"/>
          <w:iCs/>
          <w:color w:val="000000" w:themeColor="text1"/>
          <w:sz w:val="22"/>
          <w:szCs w:val="22"/>
        </w:rPr>
        <w:t xml:space="preserve">udvostručen u </w:t>
      </w:r>
      <w:r w:rsidRPr="008F7284">
        <w:rPr>
          <w:rFonts w:cs="Arial"/>
          <w:iCs/>
          <w:color w:val="000000" w:themeColor="text1"/>
          <w:sz w:val="22"/>
          <w:szCs w:val="22"/>
        </w:rPr>
        <w:t>2017. u odnosu na 2011. godinu</w:t>
      </w:r>
      <w:r w:rsidR="00F73D86">
        <w:rPr>
          <w:rFonts w:cs="Arial"/>
          <w:iCs/>
          <w:color w:val="000000" w:themeColor="text1"/>
          <w:sz w:val="22"/>
          <w:szCs w:val="22"/>
        </w:rPr>
        <w:t xml:space="preserve"> što je uticalo na rast ukupne nezaposlenosti u Podgorici. Međutim, u periodu 2018-2019. broj nezaposlenih žena se smanjivao, tako da je u 2018. nezaposlenost žena pala za 33,4%. Ukidanje navedenih naknada u 2017. </w:t>
      </w:r>
      <w:r w:rsidR="00F73D86" w:rsidRPr="00524E12">
        <w:rPr>
          <w:rFonts w:cs="Arial"/>
          <w:iCs/>
          <w:color w:val="000000" w:themeColor="text1"/>
          <w:sz w:val="22"/>
          <w:szCs w:val="22"/>
        </w:rPr>
        <w:t>je utica</w:t>
      </w:r>
      <w:r w:rsidR="006076DB">
        <w:rPr>
          <w:rFonts w:cs="Arial"/>
          <w:iCs/>
          <w:color w:val="000000" w:themeColor="text1"/>
          <w:sz w:val="22"/>
          <w:szCs w:val="22"/>
        </w:rPr>
        <w:t>l</w:t>
      </w:r>
      <w:r w:rsidR="00F73D86" w:rsidRPr="00524E12">
        <w:rPr>
          <w:rFonts w:cs="Arial"/>
          <w:iCs/>
          <w:color w:val="000000" w:themeColor="text1"/>
          <w:sz w:val="22"/>
          <w:szCs w:val="22"/>
        </w:rPr>
        <w:t xml:space="preserve">o na aktivaciju žena i povratak na </w:t>
      </w:r>
      <w:r w:rsidR="00F73D86" w:rsidRPr="00524E12">
        <w:rPr>
          <w:rFonts w:cs="Arial"/>
          <w:iCs/>
          <w:color w:val="000000" w:themeColor="text1"/>
          <w:sz w:val="22"/>
          <w:szCs w:val="22"/>
        </w:rPr>
        <w:lastRenderedPageBreak/>
        <w:t xml:space="preserve">tržište rada tokom 2018. godine što je jedan od razloga pada nezaposlenosti, kojem treba dodati i poboljšanje ekonomske situacije i kreiranja radnih mjesta. Pad </w:t>
      </w:r>
      <w:r w:rsidR="007748C6">
        <w:rPr>
          <w:rFonts w:cs="Arial"/>
          <w:iCs/>
          <w:color w:val="000000" w:themeColor="text1"/>
          <w:sz w:val="22"/>
          <w:szCs w:val="22"/>
        </w:rPr>
        <w:t xml:space="preserve">broja </w:t>
      </w:r>
      <w:r w:rsidR="00F73D86" w:rsidRPr="00524E12">
        <w:rPr>
          <w:rFonts w:cs="Arial"/>
          <w:iCs/>
          <w:color w:val="000000" w:themeColor="text1"/>
          <w:sz w:val="22"/>
          <w:szCs w:val="22"/>
        </w:rPr>
        <w:t xml:space="preserve">nezaposlenih žena je smanjen u 2019. za 9% u odnosu na 2018. godinu. </w:t>
      </w:r>
    </w:p>
    <w:p w:rsidR="00F56DA8" w:rsidRDefault="00F56DA8" w:rsidP="005526BB">
      <w:pPr>
        <w:jc w:val="both"/>
        <w:rPr>
          <w:rFonts w:cs="Arial"/>
          <w:iCs/>
          <w:color w:val="000000" w:themeColor="text1"/>
          <w:sz w:val="22"/>
          <w:szCs w:val="22"/>
        </w:rPr>
      </w:pPr>
    </w:p>
    <w:p w:rsidR="009C7950" w:rsidRPr="00524E12" w:rsidRDefault="009C7950" w:rsidP="005526BB">
      <w:pPr>
        <w:jc w:val="both"/>
        <w:rPr>
          <w:rFonts w:cs="Arial"/>
          <w:iCs/>
          <w:color w:val="000000" w:themeColor="text1"/>
          <w:sz w:val="22"/>
          <w:szCs w:val="22"/>
        </w:rPr>
      </w:pPr>
      <w:r w:rsidRPr="00524E12">
        <w:rPr>
          <w:rFonts w:cs="Arial"/>
          <w:iCs/>
          <w:color w:val="000000" w:themeColor="text1"/>
          <w:sz w:val="22"/>
          <w:szCs w:val="22"/>
        </w:rPr>
        <w:t xml:space="preserve">Međutim, nezaposlenost je porasla tokom 2020. godine, kada je na kraju drugog kvartala iznosila </w:t>
      </w:r>
      <w:r w:rsidR="00524E12" w:rsidRPr="00524E12">
        <w:rPr>
          <w:rFonts w:cs="Arial"/>
          <w:iCs/>
          <w:color w:val="000000" w:themeColor="text1"/>
          <w:sz w:val="22"/>
          <w:szCs w:val="22"/>
        </w:rPr>
        <w:t>4.966</w:t>
      </w:r>
      <w:r w:rsidRPr="00524E12">
        <w:rPr>
          <w:rFonts w:cs="Arial"/>
          <w:iCs/>
          <w:color w:val="000000" w:themeColor="text1"/>
          <w:sz w:val="22"/>
          <w:szCs w:val="22"/>
        </w:rPr>
        <w:t xml:space="preserve"> ili 1</w:t>
      </w:r>
      <w:r w:rsidR="00524E12" w:rsidRPr="00524E12">
        <w:rPr>
          <w:rFonts w:cs="Arial"/>
          <w:iCs/>
          <w:color w:val="000000" w:themeColor="text1"/>
          <w:sz w:val="22"/>
          <w:szCs w:val="22"/>
        </w:rPr>
        <w:t>3,2</w:t>
      </w:r>
      <w:r w:rsidRPr="00524E12">
        <w:rPr>
          <w:rFonts w:cs="Arial"/>
          <w:iCs/>
          <w:color w:val="000000" w:themeColor="text1"/>
          <w:sz w:val="22"/>
          <w:szCs w:val="22"/>
        </w:rPr>
        <w:t xml:space="preserve">% više u odnosu na kraj 2019. godine. </w:t>
      </w:r>
      <w:r w:rsidR="00524E12" w:rsidRPr="00524E12">
        <w:rPr>
          <w:rFonts w:cs="Arial"/>
          <w:iCs/>
          <w:color w:val="000000" w:themeColor="text1"/>
          <w:sz w:val="22"/>
          <w:szCs w:val="22"/>
        </w:rPr>
        <w:t xml:space="preserve">U odnosu na promjenu ukupne nezaposlenosti, nezaposlenost žena je </w:t>
      </w:r>
      <w:r w:rsidRPr="00524E12">
        <w:rPr>
          <w:rFonts w:cs="Arial"/>
          <w:iCs/>
          <w:color w:val="000000" w:themeColor="text1"/>
          <w:sz w:val="22"/>
          <w:szCs w:val="22"/>
        </w:rPr>
        <w:t xml:space="preserve">porasla u </w:t>
      </w:r>
      <w:r w:rsidR="00524E12" w:rsidRPr="00524E12">
        <w:rPr>
          <w:rFonts w:cs="Arial"/>
          <w:iCs/>
          <w:color w:val="000000" w:themeColor="text1"/>
          <w:sz w:val="22"/>
          <w:szCs w:val="22"/>
        </w:rPr>
        <w:t xml:space="preserve">manjem procentu od rasta ukupne nezaposlenosti u posmatranom periodu. </w:t>
      </w:r>
    </w:p>
    <w:p w:rsidR="005526BB" w:rsidRDefault="005526BB" w:rsidP="005526BB">
      <w:pPr>
        <w:jc w:val="both"/>
        <w:rPr>
          <w:rFonts w:cs="Arial"/>
          <w:iCs/>
          <w:color w:val="000000" w:themeColor="text1"/>
          <w:sz w:val="22"/>
          <w:szCs w:val="22"/>
        </w:rPr>
      </w:pPr>
    </w:p>
    <w:p w:rsidR="00524E12" w:rsidRPr="00524E12" w:rsidRDefault="00524E12" w:rsidP="005526BB">
      <w:pPr>
        <w:jc w:val="both"/>
        <w:rPr>
          <w:rFonts w:cs="Arial"/>
          <w:iCs/>
          <w:color w:val="000000" w:themeColor="text1"/>
          <w:sz w:val="22"/>
          <w:szCs w:val="22"/>
        </w:rPr>
      </w:pPr>
      <w:r w:rsidRPr="00524E12">
        <w:rPr>
          <w:rFonts w:cs="Arial"/>
          <w:iCs/>
          <w:color w:val="000000" w:themeColor="text1"/>
          <w:sz w:val="22"/>
          <w:szCs w:val="22"/>
        </w:rPr>
        <w:t>T</w:t>
      </w:r>
      <w:r w:rsidR="009C7950" w:rsidRPr="00524E12">
        <w:rPr>
          <w:rFonts w:cs="Arial"/>
          <w:iCs/>
          <w:color w:val="000000" w:themeColor="text1"/>
          <w:sz w:val="22"/>
          <w:szCs w:val="22"/>
        </w:rPr>
        <w:t>okom analiziranog perioda od 2011. do 2020. učešće nezaposlenih žena u ukupnoj nezaposlenosti je povećano, što predstavlja</w:t>
      </w:r>
      <w:r w:rsidRPr="00524E12">
        <w:rPr>
          <w:rFonts w:cs="Arial"/>
          <w:iCs/>
          <w:color w:val="000000" w:themeColor="text1"/>
          <w:sz w:val="22"/>
          <w:szCs w:val="22"/>
        </w:rPr>
        <w:t xml:space="preserve"> jedan od izazova tržišta rada, zbog čega je potrebno kreirati i realizovati mjere koje se odnose na povećanje zapošljivosti žena. </w:t>
      </w:r>
      <w:r w:rsidR="009C7950" w:rsidRPr="00524E12">
        <w:rPr>
          <w:rFonts w:cs="Arial"/>
          <w:iCs/>
          <w:color w:val="000000" w:themeColor="text1"/>
          <w:sz w:val="22"/>
          <w:szCs w:val="22"/>
        </w:rPr>
        <w:t xml:space="preserve">U odnosu na 2011. godinu kada su žene činile </w:t>
      </w:r>
      <w:r w:rsidRPr="00524E12">
        <w:rPr>
          <w:rFonts w:cs="Arial"/>
          <w:iCs/>
          <w:color w:val="000000" w:themeColor="text1"/>
          <w:sz w:val="22"/>
          <w:szCs w:val="22"/>
        </w:rPr>
        <w:t>49,4</w:t>
      </w:r>
      <w:r w:rsidR="009C7950" w:rsidRPr="00524E12">
        <w:rPr>
          <w:rFonts w:cs="Arial"/>
          <w:iCs/>
          <w:color w:val="000000" w:themeColor="text1"/>
          <w:sz w:val="22"/>
          <w:szCs w:val="22"/>
        </w:rPr>
        <w:t>% ukupne nezap</w:t>
      </w:r>
      <w:r w:rsidR="00A84206">
        <w:rPr>
          <w:rFonts w:cs="Arial"/>
          <w:iCs/>
          <w:color w:val="000000" w:themeColor="text1"/>
          <w:sz w:val="22"/>
          <w:szCs w:val="22"/>
        </w:rPr>
        <w:t>o</w:t>
      </w:r>
      <w:r w:rsidR="009C7950" w:rsidRPr="00524E12">
        <w:rPr>
          <w:rFonts w:cs="Arial"/>
          <w:iCs/>
          <w:color w:val="000000" w:themeColor="text1"/>
          <w:sz w:val="22"/>
          <w:szCs w:val="22"/>
        </w:rPr>
        <w:t xml:space="preserve">slenosti, u 2019. godini je učešće poraslo na </w:t>
      </w:r>
      <w:r w:rsidRPr="00524E12">
        <w:rPr>
          <w:rFonts w:cs="Arial"/>
          <w:iCs/>
          <w:color w:val="000000" w:themeColor="text1"/>
          <w:sz w:val="22"/>
          <w:szCs w:val="22"/>
        </w:rPr>
        <w:t>60,7%. Nešto manje učešće nezaposlenih žena u ukupnoj nezaposlenosti je zabilježeno tokom prva dva kvartala 2020. kada je na kraju drugog kvartala učešće žena u ukupnoj nezaposlenosti bilo na nivou od 60,1%. Pad učešća se može pripisati nešto većem rastu nezaposlenosti muškaraca u odnosu na rast nezaposlenosti žena u prvih šest mj</w:t>
      </w:r>
      <w:r w:rsidR="007748C6">
        <w:rPr>
          <w:rFonts w:cs="Arial"/>
          <w:iCs/>
          <w:color w:val="000000" w:themeColor="text1"/>
          <w:sz w:val="22"/>
          <w:szCs w:val="22"/>
        </w:rPr>
        <w:t>e</w:t>
      </w:r>
      <w:r w:rsidRPr="00524E12">
        <w:rPr>
          <w:rFonts w:cs="Arial"/>
          <w:iCs/>
          <w:color w:val="000000" w:themeColor="text1"/>
          <w:sz w:val="22"/>
          <w:szCs w:val="22"/>
        </w:rPr>
        <w:t xml:space="preserve">seci 2020. </w:t>
      </w:r>
    </w:p>
    <w:p w:rsidR="005526BB" w:rsidRDefault="005526BB" w:rsidP="005526BB">
      <w:pPr>
        <w:jc w:val="both"/>
        <w:rPr>
          <w:rFonts w:cs="Arial"/>
          <w:b/>
          <w:i/>
          <w:iCs/>
          <w:sz w:val="22"/>
          <w:szCs w:val="22"/>
        </w:rPr>
      </w:pPr>
    </w:p>
    <w:p w:rsidR="00B1369A" w:rsidRPr="00FC2D96" w:rsidRDefault="00C901BF" w:rsidP="005526BB">
      <w:pPr>
        <w:jc w:val="both"/>
        <w:rPr>
          <w:bCs/>
          <w:color w:val="000000" w:themeColor="text1"/>
          <w:sz w:val="22"/>
          <w:szCs w:val="22"/>
        </w:rPr>
      </w:pPr>
      <w:r w:rsidRPr="00FC2D96">
        <w:rPr>
          <w:rFonts w:cs="Arial"/>
          <w:bCs/>
          <w:i/>
          <w:iCs/>
          <w:sz w:val="22"/>
          <w:szCs w:val="22"/>
        </w:rPr>
        <w:t>Obrazovna struktura nezaposlenih lica</w:t>
      </w:r>
      <w:r w:rsidR="00595AD8" w:rsidRPr="00FC2D96">
        <w:rPr>
          <w:rFonts w:cs="Arial"/>
          <w:bCs/>
          <w:i/>
          <w:iCs/>
          <w:sz w:val="22"/>
          <w:szCs w:val="22"/>
        </w:rPr>
        <w:t xml:space="preserve"> </w:t>
      </w:r>
    </w:p>
    <w:p w:rsidR="009C571A" w:rsidRDefault="009C571A" w:rsidP="005526BB">
      <w:pPr>
        <w:jc w:val="both"/>
        <w:rPr>
          <w:color w:val="000000" w:themeColor="text1"/>
          <w:sz w:val="22"/>
          <w:szCs w:val="22"/>
        </w:rPr>
      </w:pPr>
    </w:p>
    <w:p w:rsidR="00AB4D72" w:rsidRDefault="00AB4D72" w:rsidP="005526BB">
      <w:pPr>
        <w:jc w:val="both"/>
        <w:rPr>
          <w:rFonts w:cs="Arial"/>
          <w:iCs/>
          <w:color w:val="000000" w:themeColor="text1"/>
          <w:sz w:val="22"/>
          <w:szCs w:val="22"/>
        </w:rPr>
      </w:pPr>
      <w:r>
        <w:rPr>
          <w:rFonts w:cs="Arial"/>
          <w:iCs/>
          <w:color w:val="000000" w:themeColor="text1"/>
          <w:sz w:val="22"/>
          <w:szCs w:val="22"/>
        </w:rPr>
        <w:t xml:space="preserve">Posmatrano sa aspekta obrazovne strukture, najveći procenat nezaposlenih </w:t>
      </w:r>
      <w:r w:rsidRPr="006A529A">
        <w:rPr>
          <w:rFonts w:cs="Arial"/>
          <w:iCs/>
          <w:color w:val="000000" w:themeColor="text1"/>
          <w:sz w:val="22"/>
          <w:szCs w:val="22"/>
        </w:rPr>
        <w:t>čine srednjekvalifikovani nezaposleni</w:t>
      </w:r>
      <w:r w:rsidRPr="00B80901">
        <w:rPr>
          <w:iCs/>
          <w:color w:val="000000" w:themeColor="text1"/>
          <w:sz w:val="22"/>
          <w:szCs w:val="22"/>
          <w:vertAlign w:val="superscript"/>
        </w:rPr>
        <w:footnoteReference w:id="11"/>
      </w:r>
      <w:r w:rsidRPr="006A529A">
        <w:rPr>
          <w:rFonts w:cs="Arial"/>
          <w:iCs/>
          <w:color w:val="000000" w:themeColor="text1"/>
          <w:sz w:val="22"/>
          <w:szCs w:val="22"/>
        </w:rPr>
        <w:t xml:space="preserve">. </w:t>
      </w:r>
      <w:r>
        <w:rPr>
          <w:rFonts w:cs="Arial"/>
          <w:iCs/>
          <w:color w:val="000000" w:themeColor="text1"/>
          <w:sz w:val="22"/>
          <w:szCs w:val="22"/>
        </w:rPr>
        <w:t>Međutim, ia</w:t>
      </w:r>
      <w:r w:rsidR="00A84206">
        <w:rPr>
          <w:rFonts w:cs="Arial"/>
          <w:iCs/>
          <w:color w:val="000000" w:themeColor="text1"/>
          <w:sz w:val="22"/>
          <w:szCs w:val="22"/>
        </w:rPr>
        <w:t>k</w:t>
      </w:r>
      <w:r>
        <w:rPr>
          <w:rFonts w:cs="Arial"/>
          <w:iCs/>
          <w:color w:val="000000" w:themeColor="text1"/>
          <w:sz w:val="22"/>
          <w:szCs w:val="22"/>
        </w:rPr>
        <w:t xml:space="preserve">o predstavljaju značajan dio nezaposlenih od 2011. do 2019. učešće ove kategorije nezaposlenih se smanjilo sa 56% koliko je iznosilo 2011. na 38,3% u 2019. godini. </w:t>
      </w:r>
      <w:r w:rsidRPr="006A529A">
        <w:rPr>
          <w:rFonts w:cs="Arial"/>
          <w:iCs/>
          <w:color w:val="000000" w:themeColor="text1"/>
          <w:sz w:val="22"/>
          <w:szCs w:val="22"/>
        </w:rPr>
        <w:t xml:space="preserve">Sa druge strane, </w:t>
      </w:r>
      <w:r>
        <w:rPr>
          <w:rFonts w:cs="Arial"/>
          <w:iCs/>
          <w:color w:val="000000" w:themeColor="text1"/>
          <w:sz w:val="22"/>
          <w:szCs w:val="22"/>
        </w:rPr>
        <w:t>zabilježen je rast učešća niskokvalifik</w:t>
      </w:r>
      <w:r w:rsidR="008C5E33">
        <w:rPr>
          <w:rFonts w:cs="Arial"/>
          <w:iCs/>
          <w:color w:val="000000" w:themeColor="text1"/>
          <w:sz w:val="22"/>
          <w:szCs w:val="22"/>
        </w:rPr>
        <w:t>o</w:t>
      </w:r>
      <w:r>
        <w:rPr>
          <w:rFonts w:cs="Arial"/>
          <w:iCs/>
          <w:color w:val="000000" w:themeColor="text1"/>
          <w:sz w:val="22"/>
          <w:szCs w:val="22"/>
        </w:rPr>
        <w:t>vane radne snage u ukupnom broju nezaposlenih. U 2011. godini niskokvalifikovani nezaposleni su predstavljali petinu ukupne nezaposlenosti (20,4%), dok u 2019. predstavljaju skoro trećinu nezaposlenih lica na evidenciji Biroa rada Podgorica (32,2%). Udvostručenje broja niskokvalifikovanih nezaposlenih u posmatranom periodu (povećanje broja sa 1</w:t>
      </w:r>
      <w:r w:rsidR="008C5E33">
        <w:rPr>
          <w:rFonts w:cs="Arial"/>
          <w:iCs/>
          <w:color w:val="000000" w:themeColor="text1"/>
          <w:sz w:val="22"/>
          <w:szCs w:val="22"/>
        </w:rPr>
        <w:t>.</w:t>
      </w:r>
      <w:r>
        <w:rPr>
          <w:rFonts w:cs="Arial"/>
          <w:iCs/>
          <w:color w:val="000000" w:themeColor="text1"/>
          <w:sz w:val="22"/>
          <w:szCs w:val="22"/>
        </w:rPr>
        <w:t>486 na 2</w:t>
      </w:r>
      <w:r w:rsidR="008C5E33">
        <w:rPr>
          <w:rFonts w:cs="Arial"/>
          <w:iCs/>
          <w:color w:val="000000" w:themeColor="text1"/>
          <w:sz w:val="22"/>
          <w:szCs w:val="22"/>
        </w:rPr>
        <w:t>.</w:t>
      </w:r>
      <w:r>
        <w:rPr>
          <w:rFonts w:cs="Arial"/>
          <w:iCs/>
          <w:color w:val="000000" w:themeColor="text1"/>
          <w:sz w:val="22"/>
          <w:szCs w:val="22"/>
        </w:rPr>
        <w:t>329 tokom 2011-2019</w:t>
      </w:r>
      <w:r w:rsidRPr="00843DE1">
        <w:rPr>
          <w:rFonts w:cs="Arial"/>
          <w:iCs/>
          <w:color w:val="000000" w:themeColor="text1"/>
          <w:sz w:val="22"/>
          <w:szCs w:val="22"/>
        </w:rPr>
        <w:t xml:space="preserve">) predstavlja veliki izazov za lokalno tržište rada, koje ne može da apsorbuje </w:t>
      </w:r>
      <w:r w:rsidR="00843DE1" w:rsidRPr="00843DE1">
        <w:rPr>
          <w:rFonts w:cs="Arial"/>
          <w:iCs/>
          <w:color w:val="000000" w:themeColor="text1"/>
          <w:sz w:val="22"/>
          <w:szCs w:val="22"/>
        </w:rPr>
        <w:t xml:space="preserve">toliki </w:t>
      </w:r>
      <w:r w:rsidRPr="00843DE1">
        <w:rPr>
          <w:rFonts w:cs="Arial"/>
          <w:iCs/>
          <w:color w:val="000000" w:themeColor="text1"/>
          <w:sz w:val="22"/>
          <w:szCs w:val="22"/>
        </w:rPr>
        <w:t>priliv radne snage</w:t>
      </w:r>
      <w:r w:rsidR="00843DE1">
        <w:rPr>
          <w:rFonts w:cs="Arial"/>
          <w:iCs/>
          <w:color w:val="000000" w:themeColor="text1"/>
          <w:sz w:val="22"/>
          <w:szCs w:val="22"/>
        </w:rPr>
        <w:t xml:space="preserve">. </w:t>
      </w:r>
      <w:r>
        <w:rPr>
          <w:rFonts w:cs="Arial"/>
          <w:iCs/>
          <w:color w:val="000000" w:themeColor="text1"/>
          <w:sz w:val="22"/>
          <w:szCs w:val="22"/>
        </w:rPr>
        <w:t xml:space="preserve"> </w:t>
      </w:r>
    </w:p>
    <w:p w:rsidR="005526BB" w:rsidRDefault="005526BB" w:rsidP="005526BB">
      <w:pPr>
        <w:jc w:val="both"/>
        <w:rPr>
          <w:rFonts w:cs="Arial"/>
          <w:iCs/>
          <w:color w:val="000000" w:themeColor="text1"/>
          <w:sz w:val="22"/>
          <w:szCs w:val="22"/>
        </w:rPr>
      </w:pPr>
    </w:p>
    <w:p w:rsidR="00C226B0" w:rsidRDefault="00C226B0" w:rsidP="005526BB">
      <w:pPr>
        <w:jc w:val="both"/>
        <w:rPr>
          <w:rFonts w:cs="Arial"/>
          <w:iCs/>
          <w:color w:val="000000" w:themeColor="text1"/>
          <w:sz w:val="22"/>
          <w:szCs w:val="22"/>
        </w:rPr>
      </w:pPr>
      <w:r>
        <w:rPr>
          <w:rFonts w:cs="Arial"/>
          <w:iCs/>
          <w:color w:val="000000" w:themeColor="text1"/>
          <w:sz w:val="22"/>
          <w:szCs w:val="22"/>
        </w:rPr>
        <w:t xml:space="preserve">Jedan od razloga </w:t>
      </w:r>
      <w:r w:rsidRPr="006A529A">
        <w:rPr>
          <w:rFonts w:cs="Arial"/>
          <w:iCs/>
          <w:color w:val="000000" w:themeColor="text1"/>
          <w:sz w:val="22"/>
          <w:szCs w:val="22"/>
        </w:rPr>
        <w:t>rasta niskokvalifikovanih nezaposlenih se može objasniti većom registracijom na evidenciji Biro</w:t>
      </w:r>
      <w:r>
        <w:rPr>
          <w:rFonts w:cs="Arial"/>
          <w:iCs/>
          <w:color w:val="000000" w:themeColor="text1"/>
          <w:sz w:val="22"/>
          <w:szCs w:val="22"/>
        </w:rPr>
        <w:t>a</w:t>
      </w:r>
      <w:r w:rsidRPr="006A529A">
        <w:rPr>
          <w:rFonts w:cs="Arial"/>
          <w:iCs/>
          <w:color w:val="000000" w:themeColor="text1"/>
          <w:sz w:val="22"/>
          <w:szCs w:val="22"/>
        </w:rPr>
        <w:t xml:space="preserve"> rada </w:t>
      </w:r>
      <w:r>
        <w:rPr>
          <w:rFonts w:cs="Arial"/>
          <w:iCs/>
          <w:color w:val="000000" w:themeColor="text1"/>
          <w:sz w:val="22"/>
          <w:szCs w:val="22"/>
        </w:rPr>
        <w:t>Podgorica</w:t>
      </w:r>
      <w:r w:rsidRPr="006A529A">
        <w:rPr>
          <w:rFonts w:cs="Arial"/>
          <w:iCs/>
          <w:color w:val="000000" w:themeColor="text1"/>
          <w:sz w:val="22"/>
          <w:szCs w:val="22"/>
        </w:rPr>
        <w:t xml:space="preserve"> usljed izmjene gore pomenute zakonske regulative, što je dovelo d</w:t>
      </w:r>
      <w:r>
        <w:rPr>
          <w:rFonts w:cs="Arial"/>
          <w:iCs/>
          <w:color w:val="000000" w:themeColor="text1"/>
          <w:sz w:val="22"/>
          <w:szCs w:val="22"/>
        </w:rPr>
        <w:t>o</w:t>
      </w:r>
      <w:r w:rsidRPr="006A529A">
        <w:rPr>
          <w:rFonts w:cs="Arial"/>
          <w:iCs/>
          <w:color w:val="000000" w:themeColor="text1"/>
          <w:sz w:val="22"/>
          <w:szCs w:val="22"/>
        </w:rPr>
        <w:t xml:space="preserve"> registracije većeg broja žena koje se do tada nijesu nala</w:t>
      </w:r>
      <w:r>
        <w:rPr>
          <w:rFonts w:cs="Arial"/>
          <w:iCs/>
          <w:color w:val="000000" w:themeColor="text1"/>
          <w:sz w:val="22"/>
          <w:szCs w:val="22"/>
        </w:rPr>
        <w:t>zile u eviden</w:t>
      </w:r>
      <w:r w:rsidR="007748C6">
        <w:rPr>
          <w:rFonts w:cs="Arial"/>
          <w:iCs/>
          <w:color w:val="000000" w:themeColor="text1"/>
          <w:sz w:val="22"/>
          <w:szCs w:val="22"/>
        </w:rPr>
        <w:t>c</w:t>
      </w:r>
      <w:r>
        <w:rPr>
          <w:rFonts w:cs="Arial"/>
          <w:iCs/>
          <w:color w:val="000000" w:themeColor="text1"/>
          <w:sz w:val="22"/>
          <w:szCs w:val="22"/>
        </w:rPr>
        <w:t>iji nezaposlenih (broj nezaposlenih žena sa I i II stepenom stručne spreme se u periodu 2011-2017. povećao 3,8 puta, odnosno sa 592 u 2011. na 2</w:t>
      </w:r>
      <w:r w:rsidR="008C5E33">
        <w:rPr>
          <w:rFonts w:cs="Arial"/>
          <w:iCs/>
          <w:color w:val="000000" w:themeColor="text1"/>
          <w:sz w:val="22"/>
          <w:szCs w:val="22"/>
        </w:rPr>
        <w:t>.</w:t>
      </w:r>
      <w:r>
        <w:rPr>
          <w:rFonts w:cs="Arial"/>
          <w:iCs/>
          <w:color w:val="000000" w:themeColor="text1"/>
          <w:sz w:val="22"/>
          <w:szCs w:val="22"/>
        </w:rPr>
        <w:t xml:space="preserve">267 u 2017. godini). </w:t>
      </w:r>
    </w:p>
    <w:p w:rsidR="00C226B0" w:rsidRDefault="00C226B0" w:rsidP="005526BB">
      <w:pPr>
        <w:jc w:val="both"/>
        <w:rPr>
          <w:rFonts w:cs="Arial"/>
          <w:iCs/>
          <w:color w:val="000000" w:themeColor="text1"/>
          <w:sz w:val="22"/>
          <w:szCs w:val="22"/>
        </w:rPr>
      </w:pPr>
    </w:p>
    <w:p w:rsidR="00B00AC9" w:rsidRDefault="00B00AC9" w:rsidP="005526BB">
      <w:pPr>
        <w:rPr>
          <w:rFonts w:cs="Arial"/>
          <w:szCs w:val="20"/>
          <w:lang w:val="it-IT"/>
        </w:rPr>
      </w:pPr>
      <w:r w:rsidRPr="00DF2F82">
        <w:rPr>
          <w:rFonts w:cs="Arial"/>
          <w:szCs w:val="20"/>
          <w:lang w:val="it-IT"/>
        </w:rPr>
        <w:t xml:space="preserve">Tabela </w:t>
      </w:r>
      <w:r>
        <w:rPr>
          <w:rFonts w:cs="Arial"/>
          <w:szCs w:val="20"/>
          <w:lang w:val="it-IT"/>
        </w:rPr>
        <w:t>12</w:t>
      </w:r>
      <w:r w:rsidRPr="00DF2F82">
        <w:rPr>
          <w:rFonts w:cs="Arial"/>
          <w:szCs w:val="20"/>
          <w:lang w:val="it-IT"/>
        </w:rPr>
        <w:t xml:space="preserve">: Nezaposlena lica prema stepenu </w:t>
      </w:r>
      <w:r w:rsidR="006B71DC">
        <w:rPr>
          <w:rFonts w:cs="Arial"/>
          <w:szCs w:val="20"/>
          <w:lang w:val="it-IT"/>
        </w:rPr>
        <w:t>obrazovanja</w:t>
      </w:r>
      <w:r w:rsidRPr="00DF2F82">
        <w:rPr>
          <w:rFonts w:cs="Arial"/>
          <w:szCs w:val="20"/>
          <w:lang w:val="it-IT"/>
        </w:rPr>
        <w:t xml:space="preserve"> i polu</w:t>
      </w:r>
      <w:r w:rsidR="00FA73E2">
        <w:rPr>
          <w:rFonts w:cs="Arial"/>
          <w:szCs w:val="20"/>
          <w:lang w:val="it-IT"/>
        </w:rPr>
        <w:t xml:space="preserve"> </w:t>
      </w:r>
      <w:r w:rsidR="00FA73E2" w:rsidRPr="006B71DC">
        <w:rPr>
          <w:rFonts w:eastAsia="Cambria" w:cs="Arial"/>
          <w:color w:val="000000" w:themeColor="text1"/>
          <w:kern w:val="24"/>
          <w:szCs w:val="20"/>
        </w:rPr>
        <w:t xml:space="preserve">(Biro rada Podgorica </w:t>
      </w:r>
      <w:r w:rsidR="00A140C7">
        <w:rPr>
          <w:rFonts w:eastAsia="Cambria" w:cs="Arial"/>
          <w:color w:val="000000" w:themeColor="text1"/>
          <w:kern w:val="24"/>
          <w:szCs w:val="20"/>
        </w:rPr>
        <w:t>i</w:t>
      </w:r>
      <w:r w:rsidR="00FA73E2" w:rsidRPr="006B71DC">
        <w:rPr>
          <w:rFonts w:eastAsia="Cambria" w:cs="Arial"/>
          <w:color w:val="000000" w:themeColor="text1"/>
          <w:kern w:val="24"/>
          <w:szCs w:val="20"/>
        </w:rPr>
        <w:t xml:space="preserve"> Biro rada Golubovci)</w:t>
      </w:r>
    </w:p>
    <w:p w:rsidR="004C3D0D" w:rsidRDefault="004C3D0D" w:rsidP="005526BB">
      <w:pPr>
        <w:rPr>
          <w:rFonts w:cs="Arial"/>
          <w:szCs w:val="20"/>
          <w:lang w:val="it-IT"/>
        </w:rPr>
      </w:pPr>
    </w:p>
    <w:p w:rsidR="00721DD3" w:rsidRDefault="006B71DC" w:rsidP="005526BB">
      <w:pPr>
        <w:jc w:val="both"/>
        <w:rPr>
          <w:rFonts w:cs="Arial"/>
          <w:iCs/>
          <w:color w:val="000000" w:themeColor="text1"/>
          <w:sz w:val="22"/>
          <w:szCs w:val="22"/>
        </w:rPr>
      </w:pPr>
      <w:r w:rsidRPr="006B71DC">
        <w:rPr>
          <w:noProof/>
          <w:lang w:val="en-US"/>
        </w:rPr>
        <w:drawing>
          <wp:inline distT="0" distB="0" distL="0" distR="0">
            <wp:extent cx="5868035" cy="130302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868035" cy="1303020"/>
                    </a:xfrm>
                    <a:prstGeom prst="rect">
                      <a:avLst/>
                    </a:prstGeom>
                  </pic:spPr>
                </pic:pic>
              </a:graphicData>
            </a:graphic>
          </wp:inline>
        </w:drawing>
      </w:r>
    </w:p>
    <w:p w:rsidR="00721DD3" w:rsidRDefault="00721DD3" w:rsidP="005526BB">
      <w:pPr>
        <w:jc w:val="both"/>
        <w:rPr>
          <w:rFonts w:cs="Arial"/>
          <w:iCs/>
          <w:color w:val="000000" w:themeColor="text1"/>
          <w:sz w:val="22"/>
          <w:szCs w:val="22"/>
        </w:rPr>
      </w:pPr>
    </w:p>
    <w:p w:rsidR="00603AE0" w:rsidRDefault="00C226B0" w:rsidP="005526BB">
      <w:pPr>
        <w:jc w:val="both"/>
        <w:rPr>
          <w:rFonts w:cs="Arial"/>
          <w:iCs/>
          <w:color w:val="000000" w:themeColor="text1"/>
          <w:sz w:val="22"/>
          <w:szCs w:val="22"/>
        </w:rPr>
      </w:pPr>
      <w:r>
        <w:rPr>
          <w:rFonts w:cs="Arial"/>
          <w:iCs/>
          <w:color w:val="000000" w:themeColor="text1"/>
          <w:sz w:val="22"/>
          <w:szCs w:val="22"/>
        </w:rPr>
        <w:t xml:space="preserve">Takođe, dodatni izazov tržišta rada je rast broja visokoškolaca. Tokom perioda 2011-2019. broj </w:t>
      </w:r>
      <w:r w:rsidR="006306CA">
        <w:rPr>
          <w:rFonts w:cs="Arial"/>
          <w:iCs/>
          <w:color w:val="000000" w:themeColor="text1"/>
          <w:sz w:val="22"/>
          <w:szCs w:val="22"/>
        </w:rPr>
        <w:t xml:space="preserve">visokokvalifikovanih </w:t>
      </w:r>
      <w:r>
        <w:rPr>
          <w:rFonts w:cs="Arial"/>
          <w:iCs/>
          <w:color w:val="000000" w:themeColor="text1"/>
          <w:sz w:val="22"/>
          <w:szCs w:val="22"/>
        </w:rPr>
        <w:t>nezaposlenih je porastao sa 1</w:t>
      </w:r>
      <w:r w:rsidR="006306CA">
        <w:rPr>
          <w:rFonts w:cs="Arial"/>
          <w:iCs/>
          <w:color w:val="000000" w:themeColor="text1"/>
          <w:sz w:val="22"/>
          <w:szCs w:val="22"/>
        </w:rPr>
        <w:t>.</w:t>
      </w:r>
      <w:r>
        <w:rPr>
          <w:rFonts w:cs="Arial"/>
          <w:iCs/>
          <w:color w:val="000000" w:themeColor="text1"/>
          <w:sz w:val="22"/>
          <w:szCs w:val="22"/>
        </w:rPr>
        <w:t>725 na 2</w:t>
      </w:r>
      <w:r w:rsidR="006B71DC">
        <w:rPr>
          <w:rFonts w:cs="Arial"/>
          <w:iCs/>
          <w:color w:val="000000" w:themeColor="text1"/>
          <w:sz w:val="22"/>
          <w:szCs w:val="22"/>
        </w:rPr>
        <w:t>.</w:t>
      </w:r>
      <w:r>
        <w:rPr>
          <w:rFonts w:cs="Arial"/>
          <w:iCs/>
          <w:color w:val="000000" w:themeColor="text1"/>
          <w:sz w:val="22"/>
          <w:szCs w:val="22"/>
        </w:rPr>
        <w:t xml:space="preserve">130 ili </w:t>
      </w:r>
      <w:r w:rsidR="008C5E33">
        <w:rPr>
          <w:rFonts w:cs="Arial"/>
          <w:iCs/>
          <w:color w:val="000000" w:themeColor="text1"/>
          <w:sz w:val="22"/>
          <w:szCs w:val="22"/>
        </w:rPr>
        <w:t xml:space="preserve">za </w:t>
      </w:r>
      <w:r>
        <w:rPr>
          <w:rFonts w:cs="Arial"/>
          <w:iCs/>
          <w:color w:val="000000" w:themeColor="text1"/>
          <w:sz w:val="22"/>
          <w:szCs w:val="22"/>
        </w:rPr>
        <w:t>23,5%</w:t>
      </w:r>
      <w:r w:rsidR="00603AE0">
        <w:rPr>
          <w:rFonts w:cs="Arial"/>
          <w:iCs/>
          <w:color w:val="000000" w:themeColor="text1"/>
          <w:sz w:val="22"/>
          <w:szCs w:val="22"/>
        </w:rPr>
        <w:t xml:space="preserve">. Rast učešća </w:t>
      </w:r>
      <w:r w:rsidR="006306CA">
        <w:rPr>
          <w:rFonts w:cs="Arial"/>
          <w:iCs/>
          <w:color w:val="000000" w:themeColor="text1"/>
          <w:sz w:val="22"/>
          <w:szCs w:val="22"/>
        </w:rPr>
        <w:t>visokokvalifikovanih</w:t>
      </w:r>
      <w:r w:rsidR="00603AE0">
        <w:rPr>
          <w:rFonts w:cs="Arial"/>
          <w:iCs/>
          <w:color w:val="000000" w:themeColor="text1"/>
          <w:sz w:val="22"/>
          <w:szCs w:val="22"/>
        </w:rPr>
        <w:t xml:space="preserve"> u ukupnoj nezaposlenosti tokom analiziranog perioda ukazuje na određene </w:t>
      </w:r>
      <w:r w:rsidR="00603AE0">
        <w:rPr>
          <w:rFonts w:cs="Arial"/>
          <w:iCs/>
          <w:color w:val="000000" w:themeColor="text1"/>
          <w:sz w:val="22"/>
          <w:szCs w:val="22"/>
        </w:rPr>
        <w:lastRenderedPageBreak/>
        <w:t>nedostatke lokalnog tržišta rada koje se suočava sa teškoćama apsorbovanja obrazovane radne snage.</w:t>
      </w:r>
    </w:p>
    <w:p w:rsidR="00767812" w:rsidRDefault="00767812" w:rsidP="005526BB">
      <w:pPr>
        <w:jc w:val="both"/>
        <w:rPr>
          <w:color w:val="000000" w:themeColor="text1"/>
          <w:sz w:val="22"/>
          <w:szCs w:val="22"/>
        </w:rPr>
      </w:pPr>
    </w:p>
    <w:p w:rsidR="00603AE0" w:rsidRDefault="00603AE0" w:rsidP="005526BB">
      <w:pPr>
        <w:jc w:val="both"/>
        <w:rPr>
          <w:color w:val="000000" w:themeColor="text1"/>
          <w:sz w:val="22"/>
          <w:szCs w:val="22"/>
        </w:rPr>
      </w:pPr>
      <w:r w:rsidRPr="006A529A">
        <w:rPr>
          <w:color w:val="000000" w:themeColor="text1"/>
          <w:sz w:val="22"/>
          <w:szCs w:val="22"/>
        </w:rPr>
        <w:t xml:space="preserve">Posmatrano po polu i nivou obrazovanja, </w:t>
      </w:r>
      <w:r w:rsidR="000D6DA8">
        <w:rPr>
          <w:color w:val="000000" w:themeColor="text1"/>
          <w:sz w:val="22"/>
          <w:szCs w:val="22"/>
        </w:rPr>
        <w:t xml:space="preserve">u 2019. godini </w:t>
      </w:r>
      <w:r w:rsidRPr="006A529A">
        <w:rPr>
          <w:color w:val="000000" w:themeColor="text1"/>
          <w:sz w:val="22"/>
          <w:szCs w:val="22"/>
        </w:rPr>
        <w:t>žene sa srednjim</w:t>
      </w:r>
      <w:r w:rsidR="000D6DA8">
        <w:rPr>
          <w:color w:val="000000" w:themeColor="text1"/>
          <w:sz w:val="22"/>
          <w:szCs w:val="22"/>
        </w:rPr>
        <w:t xml:space="preserve"> nivoom stručne spreme su činile 37,6</w:t>
      </w:r>
      <w:r w:rsidRPr="006A529A">
        <w:rPr>
          <w:color w:val="000000" w:themeColor="text1"/>
          <w:sz w:val="22"/>
          <w:szCs w:val="22"/>
        </w:rPr>
        <w:t>% nezaposlenih žena, dok je učešće žena sa I i II nivoom obrazovanja u ukupnom broju nezaposlenih žena</w:t>
      </w:r>
      <w:r>
        <w:rPr>
          <w:color w:val="000000" w:themeColor="text1"/>
          <w:sz w:val="22"/>
          <w:szCs w:val="22"/>
        </w:rPr>
        <w:t xml:space="preserve"> </w:t>
      </w:r>
      <w:r w:rsidR="009279AB">
        <w:rPr>
          <w:color w:val="000000" w:themeColor="text1"/>
          <w:sz w:val="22"/>
          <w:szCs w:val="22"/>
        </w:rPr>
        <w:t xml:space="preserve">bilo </w:t>
      </w:r>
      <w:r w:rsidR="000D6DA8">
        <w:rPr>
          <w:color w:val="000000" w:themeColor="text1"/>
          <w:sz w:val="22"/>
          <w:szCs w:val="22"/>
        </w:rPr>
        <w:t>30,8</w:t>
      </w:r>
      <w:r w:rsidRPr="006A529A">
        <w:rPr>
          <w:color w:val="000000" w:themeColor="text1"/>
          <w:sz w:val="22"/>
          <w:szCs w:val="22"/>
        </w:rPr>
        <w:t xml:space="preserve">%. Tokom perioda od 2011. do 2019. struktura nezaposlenosti uzimajući u obzir pol i obrazovanje se mijenjala u pravcu </w:t>
      </w:r>
      <w:r w:rsidR="009279AB">
        <w:rPr>
          <w:color w:val="000000" w:themeColor="text1"/>
          <w:sz w:val="22"/>
          <w:szCs w:val="22"/>
        </w:rPr>
        <w:t>povećanja učešća nisko</w:t>
      </w:r>
      <w:r w:rsidRPr="006A529A">
        <w:rPr>
          <w:color w:val="000000" w:themeColor="text1"/>
          <w:sz w:val="22"/>
          <w:szCs w:val="22"/>
        </w:rPr>
        <w:t>kvalifikovanih žena u uku</w:t>
      </w:r>
      <w:r w:rsidR="009279AB">
        <w:rPr>
          <w:color w:val="000000" w:themeColor="text1"/>
          <w:sz w:val="22"/>
          <w:szCs w:val="22"/>
        </w:rPr>
        <w:t>pnom broju nezaposlenih (sa 16,4</w:t>
      </w:r>
      <w:r w:rsidRPr="006A529A">
        <w:rPr>
          <w:color w:val="000000" w:themeColor="text1"/>
          <w:sz w:val="22"/>
          <w:szCs w:val="22"/>
        </w:rPr>
        <w:t xml:space="preserve">% na </w:t>
      </w:r>
      <w:r w:rsidR="009279AB">
        <w:rPr>
          <w:color w:val="000000" w:themeColor="text1"/>
          <w:sz w:val="22"/>
          <w:szCs w:val="22"/>
        </w:rPr>
        <w:t>30,8</w:t>
      </w:r>
      <w:r w:rsidRPr="006A529A">
        <w:rPr>
          <w:color w:val="000000" w:themeColor="text1"/>
          <w:sz w:val="22"/>
          <w:szCs w:val="22"/>
        </w:rPr>
        <w:t xml:space="preserve">%), dok je </w:t>
      </w:r>
      <w:r w:rsidR="009279AB">
        <w:rPr>
          <w:color w:val="000000" w:themeColor="text1"/>
          <w:sz w:val="22"/>
          <w:szCs w:val="22"/>
        </w:rPr>
        <w:t xml:space="preserve">smanjen broj srednjekvalifikovanih žena u odnosu na ukupan broj nezaposlenih žena. Broj nezaposlenih žena sa visokim obrazovanjem je u periodu 2011-2019. porastao za 27,9%. </w:t>
      </w:r>
    </w:p>
    <w:p w:rsidR="00767812" w:rsidRDefault="00767812" w:rsidP="005526BB">
      <w:pPr>
        <w:jc w:val="both"/>
        <w:rPr>
          <w:color w:val="000000" w:themeColor="text1"/>
          <w:sz w:val="22"/>
          <w:szCs w:val="22"/>
        </w:rPr>
      </w:pPr>
    </w:p>
    <w:p w:rsidR="009279AB" w:rsidRPr="006A529A" w:rsidRDefault="009279AB" w:rsidP="005526BB">
      <w:pPr>
        <w:jc w:val="both"/>
        <w:rPr>
          <w:color w:val="000000" w:themeColor="text1"/>
          <w:sz w:val="22"/>
          <w:szCs w:val="22"/>
        </w:rPr>
      </w:pPr>
      <w:r>
        <w:rPr>
          <w:color w:val="000000" w:themeColor="text1"/>
          <w:sz w:val="22"/>
          <w:szCs w:val="22"/>
        </w:rPr>
        <w:t>Kriza izazvana pand</w:t>
      </w:r>
      <w:r w:rsidR="00A84206">
        <w:rPr>
          <w:color w:val="000000" w:themeColor="text1"/>
          <w:sz w:val="22"/>
          <w:szCs w:val="22"/>
        </w:rPr>
        <w:t>e</w:t>
      </w:r>
      <w:r>
        <w:rPr>
          <w:color w:val="000000" w:themeColor="text1"/>
          <w:sz w:val="22"/>
          <w:szCs w:val="22"/>
        </w:rPr>
        <w:t>mijom korona virusa je uticala i na izmjenu strukture nezaposlenosti sa stanovišta obrazovanja. Na kraju šest mjeseci 2020. godine, učešće srednjekvalifikovanih nezaposlenih u ukupnoj nezaposlenosti je povećano za 8 procentnih poena, dok je sa druge strane smanjeno učešće viskokvalifikovane radne snage u ukupnom broju nezaposlenih za 9,8 procentnih poena. Ovakvi trendovi ukazuju da je na udaru ekonomske krize najviše izložena srednjekvalifikovana radna snaga, budu</w:t>
      </w:r>
      <w:r w:rsidR="007748C6">
        <w:rPr>
          <w:color w:val="000000" w:themeColor="text1"/>
          <w:sz w:val="22"/>
          <w:szCs w:val="22"/>
        </w:rPr>
        <w:t>ć</w:t>
      </w:r>
      <w:r>
        <w:rPr>
          <w:color w:val="000000" w:themeColor="text1"/>
          <w:sz w:val="22"/>
          <w:szCs w:val="22"/>
        </w:rPr>
        <w:t xml:space="preserve">i i da su najpogođeniji sektori oni koji u najvećem procentu zapošljavaju ovu kategoriju radne snage. </w:t>
      </w:r>
    </w:p>
    <w:p w:rsidR="005526BB" w:rsidRDefault="005526BB" w:rsidP="005526BB">
      <w:pPr>
        <w:jc w:val="both"/>
        <w:rPr>
          <w:rFonts w:cs="Arial"/>
          <w:iCs/>
          <w:color w:val="000000" w:themeColor="text1"/>
          <w:sz w:val="22"/>
          <w:szCs w:val="22"/>
        </w:rPr>
      </w:pPr>
    </w:p>
    <w:p w:rsidR="00266F07" w:rsidRPr="00FC2D96" w:rsidRDefault="00266F07" w:rsidP="005526BB">
      <w:pPr>
        <w:jc w:val="both"/>
        <w:rPr>
          <w:rFonts w:cs="Arial"/>
          <w:bCs/>
          <w:i/>
          <w:iCs/>
          <w:sz w:val="22"/>
          <w:szCs w:val="22"/>
        </w:rPr>
      </w:pPr>
      <w:r w:rsidRPr="00FC2D96">
        <w:rPr>
          <w:rFonts w:cs="Arial"/>
          <w:bCs/>
          <w:i/>
          <w:iCs/>
          <w:sz w:val="22"/>
          <w:szCs w:val="22"/>
        </w:rPr>
        <w:t>Dugoročna nezaposlenost</w:t>
      </w:r>
      <w:r w:rsidR="00411B48" w:rsidRPr="00FC2D96">
        <w:rPr>
          <w:rFonts w:cs="Arial"/>
          <w:bCs/>
          <w:i/>
          <w:iCs/>
          <w:sz w:val="22"/>
          <w:szCs w:val="22"/>
        </w:rPr>
        <w:t xml:space="preserve"> </w:t>
      </w:r>
    </w:p>
    <w:p w:rsidR="00222567" w:rsidRDefault="00222567" w:rsidP="005526BB">
      <w:pPr>
        <w:rPr>
          <w:rFonts w:cs="Arial"/>
          <w:szCs w:val="20"/>
        </w:rPr>
      </w:pPr>
    </w:p>
    <w:p w:rsidR="00767812" w:rsidRDefault="009279AB" w:rsidP="005526BB">
      <w:pPr>
        <w:jc w:val="both"/>
        <w:rPr>
          <w:color w:val="000000" w:themeColor="text1"/>
          <w:sz w:val="22"/>
          <w:szCs w:val="22"/>
        </w:rPr>
      </w:pPr>
      <w:r w:rsidRPr="006A529A">
        <w:rPr>
          <w:color w:val="000000" w:themeColor="text1"/>
          <w:sz w:val="22"/>
          <w:szCs w:val="22"/>
        </w:rPr>
        <w:t xml:space="preserve">Sa stanovišta dužine </w:t>
      </w:r>
      <w:r w:rsidR="001C5337">
        <w:rPr>
          <w:color w:val="000000" w:themeColor="text1"/>
          <w:sz w:val="22"/>
          <w:szCs w:val="22"/>
        </w:rPr>
        <w:t>čekanja na zaposlenje</w:t>
      </w:r>
      <w:r w:rsidRPr="006A529A">
        <w:rPr>
          <w:color w:val="000000" w:themeColor="text1"/>
          <w:sz w:val="22"/>
          <w:szCs w:val="22"/>
        </w:rPr>
        <w:t xml:space="preserve">, tokom </w:t>
      </w:r>
      <w:r w:rsidR="00CA3AE4">
        <w:rPr>
          <w:color w:val="000000" w:themeColor="text1"/>
          <w:sz w:val="22"/>
          <w:szCs w:val="22"/>
        </w:rPr>
        <w:t>perioda 2018-2019. je zabilježeno smanjenje dugoročno nezaposlenih</w:t>
      </w:r>
      <w:r w:rsidR="00D2254D">
        <w:rPr>
          <w:color w:val="000000" w:themeColor="text1"/>
          <w:sz w:val="22"/>
          <w:szCs w:val="22"/>
        </w:rPr>
        <w:t xml:space="preserve"> </w:t>
      </w:r>
      <w:r w:rsidR="00D2254D" w:rsidRPr="000250A6">
        <w:rPr>
          <w:sz w:val="22"/>
          <w:szCs w:val="22"/>
        </w:rPr>
        <w:t>(prijavljeni 12 mjeseci i više)</w:t>
      </w:r>
      <w:r w:rsidR="00CA3AE4" w:rsidRPr="000250A6">
        <w:rPr>
          <w:sz w:val="22"/>
          <w:szCs w:val="22"/>
        </w:rPr>
        <w:t xml:space="preserve"> </w:t>
      </w:r>
      <w:r w:rsidR="00CA3AE4">
        <w:rPr>
          <w:color w:val="000000" w:themeColor="text1"/>
          <w:sz w:val="22"/>
          <w:szCs w:val="22"/>
        </w:rPr>
        <w:t>na evidenciji Biroa rada Podgorica. U 2019. godini broj dugoročno nezaposlenih je iznosio 3</w:t>
      </w:r>
      <w:r w:rsidR="008C5E33">
        <w:rPr>
          <w:color w:val="000000" w:themeColor="text1"/>
          <w:sz w:val="22"/>
          <w:szCs w:val="22"/>
        </w:rPr>
        <w:t>.</w:t>
      </w:r>
      <w:r w:rsidR="00CA3AE4">
        <w:rPr>
          <w:color w:val="000000" w:themeColor="text1"/>
          <w:sz w:val="22"/>
          <w:szCs w:val="22"/>
        </w:rPr>
        <w:t xml:space="preserve">762, što je za 8,3% manje u odnosu na 2018. godinu. </w:t>
      </w:r>
    </w:p>
    <w:p w:rsidR="005526BB" w:rsidRDefault="00CA3AE4" w:rsidP="005526BB">
      <w:pPr>
        <w:jc w:val="both"/>
        <w:rPr>
          <w:color w:val="000000" w:themeColor="text1"/>
          <w:sz w:val="22"/>
          <w:szCs w:val="22"/>
        </w:rPr>
      </w:pPr>
      <w:r>
        <w:rPr>
          <w:color w:val="000000" w:themeColor="text1"/>
          <w:sz w:val="22"/>
          <w:szCs w:val="22"/>
        </w:rPr>
        <w:t xml:space="preserve">Sa druge strane, iako je pao broj dugoročno nezaposlenih, njihovo učešće u ukupnom broju nezaposlenih je </w:t>
      </w:r>
      <w:r w:rsidR="001C5337">
        <w:rPr>
          <w:color w:val="000000" w:themeColor="text1"/>
          <w:sz w:val="22"/>
          <w:szCs w:val="22"/>
        </w:rPr>
        <w:t>blago por</w:t>
      </w:r>
      <w:r w:rsidR="00A84206">
        <w:rPr>
          <w:color w:val="000000" w:themeColor="text1"/>
          <w:sz w:val="22"/>
          <w:szCs w:val="22"/>
        </w:rPr>
        <w:t>a</w:t>
      </w:r>
      <w:r w:rsidR="001C5337">
        <w:rPr>
          <w:color w:val="000000" w:themeColor="text1"/>
          <w:sz w:val="22"/>
          <w:szCs w:val="22"/>
        </w:rPr>
        <w:t xml:space="preserve">slo </w:t>
      </w:r>
      <w:r>
        <w:rPr>
          <w:color w:val="000000" w:themeColor="text1"/>
          <w:sz w:val="22"/>
          <w:szCs w:val="22"/>
        </w:rPr>
        <w:t>u periodu</w:t>
      </w:r>
      <w:r w:rsidR="001C5337">
        <w:rPr>
          <w:color w:val="000000" w:themeColor="text1"/>
          <w:sz w:val="22"/>
          <w:szCs w:val="22"/>
        </w:rPr>
        <w:t xml:space="preserve"> 2018-2019. sa 51,5% na 52%, usljed većeg pada broja nezaposlenih koji traže zaposlenje kraće od godinu dana u odnosu na dugoročno nezaposlene. </w:t>
      </w:r>
    </w:p>
    <w:p w:rsidR="00767812" w:rsidRDefault="00767812" w:rsidP="005526BB">
      <w:pPr>
        <w:jc w:val="both"/>
        <w:rPr>
          <w:color w:val="000000" w:themeColor="text1"/>
          <w:sz w:val="22"/>
          <w:szCs w:val="22"/>
        </w:rPr>
      </w:pPr>
    </w:p>
    <w:p w:rsidR="001953FF" w:rsidRDefault="001953FF" w:rsidP="005526BB">
      <w:pPr>
        <w:rPr>
          <w:rFonts w:eastAsia="Cambria" w:cs="Arial"/>
          <w:color w:val="000000" w:themeColor="text1"/>
          <w:kern w:val="24"/>
          <w:szCs w:val="20"/>
        </w:rPr>
      </w:pPr>
      <w:r w:rsidRPr="006B71DC">
        <w:rPr>
          <w:rFonts w:cs="Arial"/>
          <w:szCs w:val="20"/>
        </w:rPr>
        <w:t>Tabela</w:t>
      </w:r>
      <w:r w:rsidR="00E62642" w:rsidRPr="006B71DC">
        <w:rPr>
          <w:rFonts w:cs="Arial"/>
          <w:szCs w:val="20"/>
        </w:rPr>
        <w:t xml:space="preserve"> </w:t>
      </w:r>
      <w:r w:rsidR="00595AD8" w:rsidRPr="006B71DC">
        <w:rPr>
          <w:rFonts w:cs="Arial"/>
          <w:szCs w:val="20"/>
        </w:rPr>
        <w:t>13</w:t>
      </w:r>
      <w:r w:rsidRPr="006B71DC">
        <w:rPr>
          <w:rFonts w:cs="Arial"/>
          <w:szCs w:val="20"/>
        </w:rPr>
        <w:t xml:space="preserve">: </w:t>
      </w:r>
      <w:bookmarkStart w:id="47" w:name="_Hlk53333184"/>
      <w:r w:rsidR="008C5E33" w:rsidRPr="006B71DC">
        <w:rPr>
          <w:rFonts w:cs="Arial"/>
          <w:szCs w:val="20"/>
        </w:rPr>
        <w:t>Nezaposlena lica prema dužini traženja posla</w:t>
      </w:r>
      <w:bookmarkEnd w:id="47"/>
      <w:r w:rsidR="008C5E33" w:rsidRPr="006B71DC">
        <w:rPr>
          <w:rFonts w:cs="Arial"/>
          <w:szCs w:val="20"/>
        </w:rPr>
        <w:t xml:space="preserve"> </w:t>
      </w:r>
      <w:r w:rsidR="008049B7" w:rsidRPr="006B71DC">
        <w:rPr>
          <w:rFonts w:eastAsia="Cambria" w:cs="Arial"/>
          <w:color w:val="000000" w:themeColor="text1"/>
          <w:kern w:val="24"/>
          <w:szCs w:val="20"/>
        </w:rPr>
        <w:t xml:space="preserve">(Biro rada Podgorica </w:t>
      </w:r>
      <w:r w:rsidR="00FA73E2" w:rsidRPr="006B71DC">
        <w:rPr>
          <w:rFonts w:eastAsia="Cambria" w:cs="Arial"/>
          <w:color w:val="000000" w:themeColor="text1"/>
          <w:kern w:val="24"/>
          <w:szCs w:val="20"/>
        </w:rPr>
        <w:t>i</w:t>
      </w:r>
      <w:r w:rsidR="008049B7" w:rsidRPr="006B71DC">
        <w:rPr>
          <w:rFonts w:eastAsia="Cambria" w:cs="Arial"/>
          <w:color w:val="000000" w:themeColor="text1"/>
          <w:kern w:val="24"/>
          <w:szCs w:val="20"/>
        </w:rPr>
        <w:t xml:space="preserve"> Biro rada Golubovci)</w:t>
      </w:r>
      <w:r w:rsidR="00085AE2" w:rsidRPr="005B3176">
        <w:rPr>
          <w:rFonts w:eastAsia="Cambria" w:cs="Arial"/>
          <w:color w:val="000000" w:themeColor="text1"/>
          <w:kern w:val="24"/>
          <w:szCs w:val="20"/>
        </w:rPr>
        <w:t xml:space="preserve"> </w:t>
      </w:r>
    </w:p>
    <w:p w:rsidR="008049B7" w:rsidRDefault="008049B7" w:rsidP="005526BB">
      <w:pPr>
        <w:rPr>
          <w:rFonts w:eastAsia="Cambria" w:cs="Arial"/>
          <w:color w:val="000000" w:themeColor="text1"/>
          <w:kern w:val="24"/>
          <w:szCs w:val="20"/>
        </w:rPr>
      </w:pPr>
    </w:p>
    <w:p w:rsidR="008049B7" w:rsidRDefault="006B71DC" w:rsidP="005526BB">
      <w:pPr>
        <w:rPr>
          <w:rFonts w:eastAsia="Cambria" w:cs="Arial"/>
          <w:color w:val="000000" w:themeColor="text1"/>
          <w:kern w:val="24"/>
          <w:szCs w:val="20"/>
        </w:rPr>
      </w:pPr>
      <w:r w:rsidRPr="006B71DC">
        <w:rPr>
          <w:noProof/>
          <w:lang w:val="en-US"/>
        </w:rPr>
        <w:drawing>
          <wp:inline distT="0" distB="0" distL="0" distR="0">
            <wp:extent cx="5868035" cy="1196340"/>
            <wp:effectExtent l="0" t="0" r="0" b="381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868035" cy="1196340"/>
                    </a:xfrm>
                    <a:prstGeom prst="rect">
                      <a:avLst/>
                    </a:prstGeom>
                  </pic:spPr>
                </pic:pic>
              </a:graphicData>
            </a:graphic>
          </wp:inline>
        </w:drawing>
      </w:r>
    </w:p>
    <w:p w:rsidR="00411B48" w:rsidRPr="0015351C" w:rsidRDefault="00411B48" w:rsidP="005526BB">
      <w:pPr>
        <w:jc w:val="right"/>
        <w:rPr>
          <w:i/>
          <w:iCs/>
          <w:color w:val="000000" w:themeColor="text1"/>
          <w:sz w:val="18"/>
        </w:rPr>
      </w:pPr>
      <w:r w:rsidRPr="0015351C">
        <w:rPr>
          <w:i/>
          <w:iCs/>
          <w:color w:val="000000" w:themeColor="text1"/>
          <w:sz w:val="18"/>
        </w:rPr>
        <w:t>Izvor: Zavod za zapošljavanje Crne Gore, Izvještaji o radu 2018-2020.</w:t>
      </w:r>
    </w:p>
    <w:p w:rsidR="00C60E4D" w:rsidRDefault="00C60E4D" w:rsidP="00C60E4D">
      <w:pPr>
        <w:jc w:val="both"/>
        <w:rPr>
          <w:color w:val="000000" w:themeColor="text1"/>
          <w:sz w:val="22"/>
          <w:szCs w:val="22"/>
        </w:rPr>
      </w:pPr>
    </w:p>
    <w:p w:rsidR="00C60E4D" w:rsidRDefault="00C60E4D" w:rsidP="00C60E4D">
      <w:pPr>
        <w:jc w:val="both"/>
        <w:rPr>
          <w:color w:val="000000" w:themeColor="text1"/>
          <w:sz w:val="22"/>
          <w:szCs w:val="22"/>
        </w:rPr>
      </w:pPr>
      <w:r w:rsidRPr="006A529A">
        <w:rPr>
          <w:color w:val="000000" w:themeColor="text1"/>
          <w:sz w:val="22"/>
          <w:szCs w:val="22"/>
        </w:rPr>
        <w:t xml:space="preserve">Posmatrano po polu, procenat dugoročno nezaposlenih žena je </w:t>
      </w:r>
      <w:r>
        <w:rPr>
          <w:color w:val="000000" w:themeColor="text1"/>
          <w:sz w:val="22"/>
          <w:szCs w:val="22"/>
        </w:rPr>
        <w:t>smanjen</w:t>
      </w:r>
      <w:r w:rsidRPr="006A529A">
        <w:rPr>
          <w:color w:val="000000" w:themeColor="text1"/>
          <w:sz w:val="22"/>
          <w:szCs w:val="22"/>
        </w:rPr>
        <w:t xml:space="preserve"> u </w:t>
      </w:r>
      <w:r>
        <w:rPr>
          <w:color w:val="000000" w:themeColor="text1"/>
          <w:sz w:val="22"/>
          <w:szCs w:val="22"/>
        </w:rPr>
        <w:t>periodu od 2018. do 2019. za 1,2</w:t>
      </w:r>
      <w:r w:rsidRPr="006A529A">
        <w:rPr>
          <w:color w:val="000000" w:themeColor="text1"/>
          <w:sz w:val="22"/>
          <w:szCs w:val="22"/>
        </w:rPr>
        <w:t xml:space="preserve"> procentn</w:t>
      </w:r>
      <w:r>
        <w:rPr>
          <w:color w:val="000000" w:themeColor="text1"/>
          <w:sz w:val="22"/>
          <w:szCs w:val="22"/>
        </w:rPr>
        <w:t>a</w:t>
      </w:r>
      <w:r w:rsidRPr="006A529A">
        <w:rPr>
          <w:color w:val="000000" w:themeColor="text1"/>
          <w:sz w:val="22"/>
          <w:szCs w:val="22"/>
        </w:rPr>
        <w:t xml:space="preserve"> poena (sa </w:t>
      </w:r>
      <w:r>
        <w:rPr>
          <w:color w:val="000000" w:themeColor="text1"/>
          <w:sz w:val="22"/>
          <w:szCs w:val="22"/>
        </w:rPr>
        <w:t>52,3% na 51,1</w:t>
      </w:r>
      <w:r w:rsidRPr="006A529A">
        <w:rPr>
          <w:color w:val="000000" w:themeColor="text1"/>
          <w:sz w:val="22"/>
          <w:szCs w:val="22"/>
        </w:rPr>
        <w:t xml:space="preserve">%, respektivno). </w:t>
      </w:r>
      <w:r>
        <w:rPr>
          <w:color w:val="000000" w:themeColor="text1"/>
          <w:sz w:val="22"/>
          <w:szCs w:val="22"/>
        </w:rPr>
        <w:t>Dodatno</w:t>
      </w:r>
      <w:r w:rsidRPr="006A529A">
        <w:rPr>
          <w:color w:val="000000" w:themeColor="text1"/>
          <w:sz w:val="22"/>
          <w:szCs w:val="22"/>
        </w:rPr>
        <w:t>, nezaposlene žene čine</w:t>
      </w:r>
      <w:r>
        <w:rPr>
          <w:color w:val="000000" w:themeColor="text1"/>
          <w:sz w:val="22"/>
          <w:szCs w:val="22"/>
        </w:rPr>
        <w:t xml:space="preserve"> blizu 60% </w:t>
      </w:r>
      <w:r w:rsidRPr="006A529A">
        <w:rPr>
          <w:color w:val="000000" w:themeColor="text1"/>
          <w:sz w:val="22"/>
          <w:szCs w:val="22"/>
        </w:rPr>
        <w:t xml:space="preserve">ukupnog broja dugoročno nezaposlenih, što </w:t>
      </w:r>
      <w:r>
        <w:rPr>
          <w:color w:val="000000" w:themeColor="text1"/>
          <w:sz w:val="22"/>
          <w:szCs w:val="22"/>
        </w:rPr>
        <w:t>predstavlja jedan od dodatnih problema</w:t>
      </w:r>
      <w:r w:rsidRPr="006A529A">
        <w:rPr>
          <w:color w:val="000000" w:themeColor="text1"/>
          <w:sz w:val="22"/>
          <w:szCs w:val="22"/>
        </w:rPr>
        <w:t xml:space="preserve"> lokalnog tržišta rada</w:t>
      </w:r>
      <w:r>
        <w:rPr>
          <w:color w:val="000000" w:themeColor="text1"/>
          <w:sz w:val="22"/>
          <w:szCs w:val="22"/>
        </w:rPr>
        <w:t xml:space="preserve">. </w:t>
      </w:r>
    </w:p>
    <w:p w:rsidR="000F5F49" w:rsidRDefault="000F5F49" w:rsidP="005526BB">
      <w:pPr>
        <w:jc w:val="both"/>
        <w:rPr>
          <w:color w:val="000000" w:themeColor="text1"/>
          <w:sz w:val="22"/>
          <w:szCs w:val="22"/>
        </w:rPr>
      </w:pPr>
    </w:p>
    <w:p w:rsidR="001C5337" w:rsidRDefault="001C5337" w:rsidP="005526BB">
      <w:pPr>
        <w:jc w:val="both"/>
        <w:rPr>
          <w:rFonts w:cs="Arial"/>
          <w:color w:val="000000" w:themeColor="text1"/>
          <w:sz w:val="22"/>
          <w:szCs w:val="22"/>
        </w:rPr>
      </w:pPr>
      <w:r>
        <w:rPr>
          <w:rFonts w:cs="Arial"/>
          <w:color w:val="000000" w:themeColor="text1"/>
          <w:sz w:val="22"/>
          <w:szCs w:val="22"/>
        </w:rPr>
        <w:t>Na kraju šestog mjeseca</w:t>
      </w:r>
      <w:r w:rsidRPr="001C5337">
        <w:rPr>
          <w:rFonts w:cs="Arial"/>
          <w:color w:val="000000" w:themeColor="text1"/>
          <w:sz w:val="22"/>
          <w:szCs w:val="22"/>
        </w:rPr>
        <w:t xml:space="preserve"> 2020. </w:t>
      </w:r>
      <w:r>
        <w:rPr>
          <w:rFonts w:cs="Arial"/>
          <w:color w:val="000000" w:themeColor="text1"/>
          <w:sz w:val="22"/>
          <w:szCs w:val="22"/>
        </w:rPr>
        <w:t>broj dugoročno nezaposlenih je porastao za 5,5% u odnosu na kraj 2019. godine. Sa</w:t>
      </w:r>
      <w:r w:rsidR="00D2254D">
        <w:rPr>
          <w:rFonts w:cs="Arial"/>
          <w:color w:val="000000" w:themeColor="text1"/>
          <w:sz w:val="22"/>
          <w:szCs w:val="22"/>
        </w:rPr>
        <w:t xml:space="preserve"> </w:t>
      </w:r>
      <w:r>
        <w:rPr>
          <w:rFonts w:cs="Arial"/>
          <w:color w:val="000000" w:themeColor="text1"/>
          <w:sz w:val="22"/>
          <w:szCs w:val="22"/>
        </w:rPr>
        <w:t xml:space="preserve">druge strane, učešće dugoročno nezaposlenih u ukupnoj nezaposlenosti na kraju drugog kvartala 2020. je smanjeno za 4 procentna poena, što se duguje većem rastu broja nezaposlenih koji traže zaposlenje kraće od godinu dana (broj lica koja traže zaposlenje kraće od godinu dana je u uporednom periodu porastao za 23,9%). </w:t>
      </w:r>
    </w:p>
    <w:p w:rsidR="001953FF" w:rsidRPr="001C5337" w:rsidRDefault="001C5337" w:rsidP="005526BB">
      <w:pPr>
        <w:jc w:val="both"/>
        <w:rPr>
          <w:rFonts w:cs="Arial"/>
          <w:color w:val="000000" w:themeColor="text1"/>
          <w:sz w:val="22"/>
          <w:szCs w:val="22"/>
        </w:rPr>
      </w:pPr>
      <w:r>
        <w:rPr>
          <w:rFonts w:cs="Arial"/>
          <w:color w:val="000000" w:themeColor="text1"/>
          <w:sz w:val="22"/>
          <w:szCs w:val="22"/>
        </w:rPr>
        <w:t xml:space="preserve"> </w:t>
      </w:r>
    </w:p>
    <w:p w:rsidR="00266F07" w:rsidRPr="00FC2D96" w:rsidRDefault="00266F07" w:rsidP="005526BB">
      <w:pPr>
        <w:jc w:val="both"/>
        <w:rPr>
          <w:rFonts w:cs="Arial"/>
          <w:i/>
          <w:iCs/>
          <w:sz w:val="22"/>
          <w:szCs w:val="22"/>
        </w:rPr>
      </w:pPr>
      <w:r w:rsidRPr="00FC2D96">
        <w:rPr>
          <w:rFonts w:cs="Arial"/>
          <w:i/>
          <w:iCs/>
          <w:sz w:val="22"/>
          <w:szCs w:val="22"/>
        </w:rPr>
        <w:t>Radni staž</w:t>
      </w:r>
      <w:r w:rsidR="00971DA3" w:rsidRPr="00FC2D96">
        <w:rPr>
          <w:color w:val="000000" w:themeColor="text1"/>
          <w:sz w:val="22"/>
          <w:szCs w:val="22"/>
        </w:rPr>
        <w:t xml:space="preserve"> </w:t>
      </w:r>
    </w:p>
    <w:p w:rsidR="00971DA3" w:rsidRDefault="00971DA3" w:rsidP="005526BB">
      <w:pPr>
        <w:rPr>
          <w:rFonts w:cs="Arial"/>
          <w:i/>
          <w:iCs/>
          <w:sz w:val="22"/>
          <w:szCs w:val="22"/>
        </w:rPr>
      </w:pPr>
    </w:p>
    <w:p w:rsidR="00BE114F" w:rsidRDefault="0059322A" w:rsidP="005526BB">
      <w:pPr>
        <w:jc w:val="both"/>
        <w:rPr>
          <w:rFonts w:cs="Arial"/>
          <w:iCs/>
          <w:sz w:val="22"/>
          <w:szCs w:val="22"/>
        </w:rPr>
      </w:pPr>
      <w:r>
        <w:rPr>
          <w:rFonts w:cs="Arial"/>
          <w:color w:val="000000" w:themeColor="text1"/>
          <w:sz w:val="22"/>
          <w:szCs w:val="22"/>
        </w:rPr>
        <w:lastRenderedPageBreak/>
        <w:t>U 2019. godini je od</w:t>
      </w:r>
      <w:r w:rsidR="00BE114F" w:rsidRPr="00BE114F">
        <w:rPr>
          <w:rFonts w:cs="Arial"/>
          <w:color w:val="000000" w:themeColor="text1"/>
          <w:sz w:val="22"/>
          <w:szCs w:val="22"/>
        </w:rPr>
        <w:t xml:space="preserve"> ukupnog broja nezaposlenih na evidenciji Biroa rada Podgorica</w:t>
      </w:r>
      <w:r w:rsidR="00BE114F">
        <w:rPr>
          <w:rFonts w:cs="Arial"/>
          <w:iCs/>
          <w:sz w:val="22"/>
          <w:szCs w:val="22"/>
        </w:rPr>
        <w:t xml:space="preserve">, 42,3% </w:t>
      </w:r>
      <w:r>
        <w:rPr>
          <w:rFonts w:cs="Arial"/>
          <w:iCs/>
          <w:sz w:val="22"/>
          <w:szCs w:val="22"/>
        </w:rPr>
        <w:t xml:space="preserve">bilo bez radnog staža. U odnosu na 2018. godinu broj nezaposlenih bez radnog staža je </w:t>
      </w:r>
      <w:r w:rsidR="00CD5EBA">
        <w:rPr>
          <w:rFonts w:cs="Arial"/>
          <w:iCs/>
          <w:sz w:val="22"/>
          <w:szCs w:val="22"/>
        </w:rPr>
        <w:t>smanjen</w:t>
      </w:r>
      <w:r>
        <w:rPr>
          <w:rFonts w:cs="Arial"/>
          <w:iCs/>
          <w:sz w:val="22"/>
          <w:szCs w:val="22"/>
        </w:rPr>
        <w:t xml:space="preserve"> za 11,4%</w:t>
      </w:r>
      <w:r w:rsidR="00CD5EBA">
        <w:rPr>
          <w:rFonts w:cs="Arial"/>
          <w:iCs/>
          <w:sz w:val="22"/>
          <w:szCs w:val="22"/>
        </w:rPr>
        <w:t xml:space="preserve">. </w:t>
      </w:r>
    </w:p>
    <w:p w:rsidR="00971DA3" w:rsidRDefault="00971DA3" w:rsidP="005526BB">
      <w:pPr>
        <w:jc w:val="both"/>
        <w:rPr>
          <w:color w:val="000000" w:themeColor="text1"/>
          <w:szCs w:val="20"/>
        </w:rPr>
      </w:pPr>
      <w:r w:rsidRPr="00C75D9B">
        <w:rPr>
          <w:color w:val="000000" w:themeColor="text1"/>
          <w:szCs w:val="20"/>
        </w:rPr>
        <w:t>Grafik 9: Nezaposleni prema radnom stažu 2018</w:t>
      </w:r>
      <w:r w:rsidR="006B71DC">
        <w:rPr>
          <w:color w:val="000000" w:themeColor="text1"/>
          <w:szCs w:val="20"/>
        </w:rPr>
        <w:t xml:space="preserve"> </w:t>
      </w:r>
      <w:r w:rsidRPr="00C75D9B">
        <w:rPr>
          <w:color w:val="000000" w:themeColor="text1"/>
          <w:szCs w:val="20"/>
        </w:rPr>
        <w:t>-</w:t>
      </w:r>
      <w:r w:rsidR="006B71DC">
        <w:rPr>
          <w:color w:val="000000" w:themeColor="text1"/>
          <w:szCs w:val="20"/>
        </w:rPr>
        <w:t xml:space="preserve"> </w:t>
      </w:r>
      <w:r w:rsidRPr="00C75D9B">
        <w:rPr>
          <w:color w:val="000000" w:themeColor="text1"/>
          <w:szCs w:val="20"/>
        </w:rPr>
        <w:t>VI 2020. godine</w:t>
      </w:r>
      <w:r w:rsidR="00FA73E2">
        <w:rPr>
          <w:color w:val="000000" w:themeColor="text1"/>
          <w:szCs w:val="20"/>
        </w:rPr>
        <w:t xml:space="preserve"> </w:t>
      </w:r>
      <w:r w:rsidR="00FA73E2" w:rsidRPr="006B71DC">
        <w:rPr>
          <w:rFonts w:eastAsia="Cambria" w:cs="Arial"/>
          <w:color w:val="000000" w:themeColor="text1"/>
          <w:kern w:val="24"/>
          <w:szCs w:val="20"/>
        </w:rPr>
        <w:t>(Biro rada Podgorica i Biro rada Golubovci)</w:t>
      </w:r>
    </w:p>
    <w:p w:rsidR="00D2254D" w:rsidRDefault="00D2254D" w:rsidP="005526BB">
      <w:pPr>
        <w:jc w:val="both"/>
        <w:rPr>
          <w:color w:val="000000" w:themeColor="text1"/>
          <w:szCs w:val="20"/>
        </w:rPr>
      </w:pPr>
    </w:p>
    <w:p w:rsidR="00C45308" w:rsidRPr="00C75D9B" w:rsidRDefault="00EA60BF" w:rsidP="005526BB">
      <w:pPr>
        <w:jc w:val="center"/>
        <w:rPr>
          <w:color w:val="000000" w:themeColor="text1"/>
          <w:szCs w:val="20"/>
        </w:rPr>
      </w:pPr>
      <w:r w:rsidRPr="00EA60BF">
        <w:rPr>
          <w:noProof/>
          <w:lang w:val="en-US"/>
        </w:rPr>
        <w:drawing>
          <wp:inline distT="0" distB="0" distL="0" distR="0">
            <wp:extent cx="4039934" cy="1996440"/>
            <wp:effectExtent l="0" t="0" r="0" b="381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6087" cy="1999481"/>
                    </a:xfrm>
                    <a:prstGeom prst="rect">
                      <a:avLst/>
                    </a:prstGeom>
                    <a:noFill/>
                    <a:ln>
                      <a:noFill/>
                    </a:ln>
                  </pic:spPr>
                </pic:pic>
              </a:graphicData>
            </a:graphic>
          </wp:inline>
        </w:drawing>
      </w:r>
    </w:p>
    <w:p w:rsidR="00971DA3" w:rsidRPr="0015351C" w:rsidRDefault="00971DA3" w:rsidP="005526BB">
      <w:pPr>
        <w:ind w:left="2124"/>
        <w:jc w:val="center"/>
        <w:rPr>
          <w:i/>
          <w:iCs/>
          <w:color w:val="000000" w:themeColor="text1"/>
          <w:sz w:val="18"/>
        </w:rPr>
      </w:pPr>
      <w:r w:rsidRPr="0015351C">
        <w:rPr>
          <w:i/>
          <w:iCs/>
          <w:color w:val="000000" w:themeColor="text1"/>
          <w:sz w:val="18"/>
        </w:rPr>
        <w:t>Izvor: Zavod za zapošljavanje Crne Gore, Izvještaji o radu 2018-2020.</w:t>
      </w:r>
    </w:p>
    <w:p w:rsidR="0015351C" w:rsidRDefault="0015351C" w:rsidP="005526BB">
      <w:pPr>
        <w:jc w:val="both"/>
        <w:rPr>
          <w:color w:val="000000" w:themeColor="text1"/>
          <w:sz w:val="22"/>
          <w:szCs w:val="22"/>
        </w:rPr>
      </w:pPr>
    </w:p>
    <w:p w:rsidR="0015351C" w:rsidRDefault="00CD5EBA" w:rsidP="005526BB">
      <w:pPr>
        <w:jc w:val="both"/>
        <w:rPr>
          <w:color w:val="000000" w:themeColor="text1"/>
          <w:sz w:val="22"/>
          <w:szCs w:val="22"/>
        </w:rPr>
      </w:pPr>
      <w:r>
        <w:rPr>
          <w:color w:val="000000" w:themeColor="text1"/>
          <w:sz w:val="22"/>
          <w:szCs w:val="22"/>
        </w:rPr>
        <w:t xml:space="preserve">Tokom 2020. registrovan je blagi rast broja nezaposlenih bez radnog staža, tako da je na kraju drugog kvartala isti bio na nivou od 3076, što je za 0,5% više u odnosu na kraj 2019. Učešće žena u ukupnom broju nezaposlenih bez radnog staža se tokom posljednje dvije godine smanjivalo. U 2018. su nezaposlene žene bez radnog staža činile 43,9% ukupnog broja nezaposlenih bez radnog staža, dok je taj procenat smanjen u 2019. i drugom kvartalu 2020. godine (42,9% i 38,5%, respektivno). </w:t>
      </w:r>
    </w:p>
    <w:p w:rsidR="00971DA3" w:rsidRDefault="00971DA3" w:rsidP="005526BB">
      <w:pPr>
        <w:rPr>
          <w:rFonts w:cs="Arial"/>
          <w:i/>
          <w:iCs/>
          <w:sz w:val="22"/>
          <w:szCs w:val="22"/>
        </w:rPr>
      </w:pPr>
    </w:p>
    <w:p w:rsidR="00085AE2" w:rsidRDefault="00085AE2" w:rsidP="005526BB">
      <w:pPr>
        <w:rPr>
          <w:rFonts w:eastAsia="Cambria" w:cs="Arial"/>
          <w:color w:val="000000" w:themeColor="text1"/>
          <w:kern w:val="24"/>
          <w:szCs w:val="20"/>
        </w:rPr>
      </w:pPr>
      <w:r w:rsidRPr="005B3176">
        <w:rPr>
          <w:rFonts w:cs="Arial"/>
          <w:szCs w:val="20"/>
        </w:rPr>
        <w:t>Tabela</w:t>
      </w:r>
      <w:r w:rsidR="00E62642" w:rsidRPr="005B3176">
        <w:rPr>
          <w:rFonts w:cs="Arial"/>
          <w:szCs w:val="20"/>
        </w:rPr>
        <w:t xml:space="preserve"> </w:t>
      </w:r>
      <w:r w:rsidR="00595AD8">
        <w:rPr>
          <w:rFonts w:cs="Arial"/>
          <w:szCs w:val="20"/>
        </w:rPr>
        <w:t>14</w:t>
      </w:r>
      <w:r w:rsidRPr="005B3176">
        <w:rPr>
          <w:rFonts w:cs="Arial"/>
          <w:szCs w:val="20"/>
        </w:rPr>
        <w:t xml:space="preserve">: Nezaposlena lica </w:t>
      </w:r>
      <w:r w:rsidR="008049B7">
        <w:rPr>
          <w:rFonts w:cs="Arial"/>
          <w:szCs w:val="20"/>
        </w:rPr>
        <w:t>prema</w:t>
      </w:r>
      <w:r w:rsidR="00C45308">
        <w:rPr>
          <w:rFonts w:cs="Arial"/>
          <w:szCs w:val="20"/>
        </w:rPr>
        <w:t xml:space="preserve"> radn</w:t>
      </w:r>
      <w:r w:rsidR="008049B7">
        <w:rPr>
          <w:rFonts w:cs="Arial"/>
          <w:szCs w:val="20"/>
        </w:rPr>
        <w:t>o</w:t>
      </w:r>
      <w:r w:rsidR="00C45308">
        <w:rPr>
          <w:rFonts w:cs="Arial"/>
          <w:szCs w:val="20"/>
        </w:rPr>
        <w:t xml:space="preserve">m </w:t>
      </w:r>
      <w:r w:rsidRPr="005B3176">
        <w:rPr>
          <w:rFonts w:cs="Arial"/>
          <w:szCs w:val="20"/>
        </w:rPr>
        <w:t xml:space="preserve"> </w:t>
      </w:r>
      <w:r w:rsidR="00C45308" w:rsidRPr="005B3176">
        <w:rPr>
          <w:rFonts w:cs="Arial"/>
          <w:szCs w:val="20"/>
        </w:rPr>
        <w:t>staž</w:t>
      </w:r>
      <w:r w:rsidR="008049B7">
        <w:rPr>
          <w:rFonts w:cs="Arial"/>
          <w:szCs w:val="20"/>
        </w:rPr>
        <w:t>u</w:t>
      </w:r>
      <w:r w:rsidR="00C45308" w:rsidRPr="005B3176">
        <w:rPr>
          <w:rFonts w:cs="Arial"/>
          <w:szCs w:val="20"/>
        </w:rPr>
        <w:t xml:space="preserve"> </w:t>
      </w:r>
      <w:r w:rsidRPr="005B3176">
        <w:rPr>
          <w:rFonts w:cs="Arial"/>
          <w:szCs w:val="20"/>
        </w:rPr>
        <w:t xml:space="preserve">na evidenciji </w:t>
      </w:r>
      <w:r w:rsidRPr="005B3176">
        <w:rPr>
          <w:rFonts w:eastAsia="Cambria" w:cs="Arial"/>
          <w:color w:val="000000" w:themeColor="text1"/>
          <w:kern w:val="24"/>
          <w:szCs w:val="20"/>
        </w:rPr>
        <w:t xml:space="preserve">ZZZCG </w:t>
      </w:r>
      <w:r w:rsidR="00FA73E2" w:rsidRPr="006B71DC">
        <w:rPr>
          <w:rFonts w:eastAsia="Cambria" w:cs="Arial"/>
          <w:color w:val="000000" w:themeColor="text1"/>
          <w:kern w:val="24"/>
          <w:szCs w:val="20"/>
        </w:rPr>
        <w:t>(Biro rada Podgorica i Biro rada Golubovci)</w:t>
      </w:r>
    </w:p>
    <w:p w:rsidR="00D2254D" w:rsidRDefault="00D2254D" w:rsidP="005526BB">
      <w:pPr>
        <w:rPr>
          <w:rFonts w:eastAsia="Cambria" w:cs="Arial"/>
          <w:color w:val="000000" w:themeColor="text1"/>
          <w:kern w:val="24"/>
          <w:szCs w:val="20"/>
        </w:rPr>
      </w:pPr>
    </w:p>
    <w:p w:rsidR="008049B7" w:rsidRDefault="00F51C9E" w:rsidP="005526BB">
      <w:pPr>
        <w:rPr>
          <w:rFonts w:eastAsia="Cambria" w:cs="Arial"/>
          <w:color w:val="000000" w:themeColor="text1"/>
          <w:kern w:val="24"/>
          <w:szCs w:val="20"/>
        </w:rPr>
      </w:pPr>
      <w:r w:rsidRPr="00F51C9E">
        <w:rPr>
          <w:noProof/>
          <w:lang w:val="en-US"/>
        </w:rPr>
        <w:drawing>
          <wp:inline distT="0" distB="0" distL="0" distR="0">
            <wp:extent cx="5868035" cy="9982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868035" cy="998220"/>
                    </a:xfrm>
                    <a:prstGeom prst="rect">
                      <a:avLst/>
                    </a:prstGeom>
                  </pic:spPr>
                </pic:pic>
              </a:graphicData>
            </a:graphic>
          </wp:inline>
        </w:drawing>
      </w:r>
    </w:p>
    <w:p w:rsidR="00971DA3" w:rsidRPr="0015351C" w:rsidRDefault="00971DA3" w:rsidP="005526BB">
      <w:pPr>
        <w:jc w:val="right"/>
        <w:rPr>
          <w:i/>
          <w:iCs/>
          <w:color w:val="000000" w:themeColor="text1"/>
          <w:sz w:val="18"/>
        </w:rPr>
      </w:pPr>
      <w:r w:rsidRPr="0015351C">
        <w:rPr>
          <w:i/>
          <w:iCs/>
          <w:color w:val="000000" w:themeColor="text1"/>
          <w:sz w:val="18"/>
        </w:rPr>
        <w:t>Izvor: Zavod za zapošljavanje Crne Gore, Izvještaji o radu 2018-2020.</w:t>
      </w:r>
    </w:p>
    <w:p w:rsidR="00C45308" w:rsidRDefault="00C45308" w:rsidP="005526BB">
      <w:pPr>
        <w:jc w:val="both"/>
        <w:rPr>
          <w:rFonts w:cs="Arial"/>
          <w:color w:val="000000" w:themeColor="text1"/>
          <w:sz w:val="22"/>
          <w:szCs w:val="22"/>
        </w:rPr>
      </w:pPr>
    </w:p>
    <w:p w:rsidR="00CD5EBA" w:rsidRDefault="00BB306E" w:rsidP="005526BB">
      <w:pPr>
        <w:jc w:val="both"/>
        <w:rPr>
          <w:rFonts w:cs="Arial"/>
          <w:color w:val="000000" w:themeColor="text1"/>
          <w:sz w:val="22"/>
          <w:szCs w:val="22"/>
        </w:rPr>
      </w:pPr>
      <w:r>
        <w:rPr>
          <w:rFonts w:cs="Arial"/>
          <w:color w:val="000000" w:themeColor="text1"/>
          <w:sz w:val="22"/>
          <w:szCs w:val="22"/>
        </w:rPr>
        <w:t xml:space="preserve">Blizu 30% nezaposlenih sa radnim stažom ima radni staž duži od 10 godina, dok je na drugoj strani učešće nezaposlenih sa radnim stažom kraćim od godinu dana 15,1% (VI 2020). Više od trećine nezaposlenih (35,4%) sa radnim stažom ima staž kraći od tri godine. </w:t>
      </w:r>
    </w:p>
    <w:p w:rsidR="00721DD3" w:rsidRDefault="00721DD3" w:rsidP="005526BB">
      <w:pPr>
        <w:jc w:val="both"/>
        <w:rPr>
          <w:rFonts w:cs="Arial"/>
          <w:i/>
          <w:iCs/>
          <w:color w:val="000000" w:themeColor="text1"/>
          <w:sz w:val="22"/>
          <w:szCs w:val="22"/>
        </w:rPr>
      </w:pPr>
    </w:p>
    <w:p w:rsidR="00060CCC" w:rsidRPr="00FC2D96" w:rsidRDefault="00266F07" w:rsidP="005526BB">
      <w:pPr>
        <w:jc w:val="both"/>
        <w:rPr>
          <w:rFonts w:cs="Arial"/>
          <w:color w:val="000000" w:themeColor="text1"/>
          <w:sz w:val="22"/>
          <w:szCs w:val="22"/>
        </w:rPr>
      </w:pPr>
      <w:r w:rsidRPr="00FC2D96">
        <w:rPr>
          <w:rFonts w:cs="Arial"/>
          <w:i/>
          <w:iCs/>
          <w:color w:val="000000" w:themeColor="text1"/>
          <w:sz w:val="22"/>
          <w:szCs w:val="22"/>
        </w:rPr>
        <w:t>Starosna struktura</w:t>
      </w:r>
      <w:r w:rsidR="001F0283" w:rsidRPr="00FC2D96">
        <w:rPr>
          <w:rFonts w:cs="Arial"/>
          <w:i/>
          <w:iCs/>
          <w:color w:val="000000" w:themeColor="text1"/>
          <w:sz w:val="22"/>
          <w:szCs w:val="22"/>
        </w:rPr>
        <w:t xml:space="preserve"> </w:t>
      </w:r>
    </w:p>
    <w:p w:rsidR="00060CCC" w:rsidRDefault="00060CCC" w:rsidP="005526BB">
      <w:pPr>
        <w:jc w:val="both"/>
        <w:rPr>
          <w:rFonts w:cs="Arial"/>
          <w:iCs/>
          <w:color w:val="000000" w:themeColor="text1"/>
          <w:sz w:val="22"/>
          <w:szCs w:val="22"/>
        </w:rPr>
      </w:pPr>
    </w:p>
    <w:p w:rsidR="003C049F" w:rsidRDefault="003C049F" w:rsidP="005526BB">
      <w:pPr>
        <w:jc w:val="both"/>
        <w:rPr>
          <w:rFonts w:eastAsia="Cambria" w:cs="Arial"/>
          <w:color w:val="000000" w:themeColor="text1"/>
          <w:kern w:val="24"/>
          <w:szCs w:val="20"/>
        </w:rPr>
      </w:pPr>
      <w:r w:rsidRPr="005B3176">
        <w:rPr>
          <w:rFonts w:cs="Arial"/>
          <w:color w:val="000000" w:themeColor="text1"/>
          <w:szCs w:val="20"/>
        </w:rPr>
        <w:t>Tabela</w:t>
      </w:r>
      <w:r w:rsidR="00E62642" w:rsidRPr="005B3176">
        <w:rPr>
          <w:rFonts w:cs="Arial"/>
          <w:color w:val="000000" w:themeColor="text1"/>
          <w:szCs w:val="20"/>
        </w:rPr>
        <w:t xml:space="preserve"> </w:t>
      </w:r>
      <w:r w:rsidR="00F67E7B">
        <w:rPr>
          <w:rFonts w:cs="Arial"/>
          <w:color w:val="000000" w:themeColor="text1"/>
          <w:szCs w:val="20"/>
        </w:rPr>
        <w:t>1</w:t>
      </w:r>
      <w:r w:rsidR="00595AD8">
        <w:rPr>
          <w:rFonts w:cs="Arial"/>
          <w:color w:val="000000" w:themeColor="text1"/>
          <w:szCs w:val="20"/>
        </w:rPr>
        <w:t>5</w:t>
      </w:r>
      <w:r w:rsidRPr="005B3176">
        <w:rPr>
          <w:rFonts w:cs="Arial"/>
          <w:color w:val="000000" w:themeColor="text1"/>
          <w:szCs w:val="20"/>
        </w:rPr>
        <w:t>: Nezaposlena lica prema godinama starosti</w:t>
      </w:r>
      <w:r w:rsidR="00085AE2" w:rsidRPr="005B3176">
        <w:rPr>
          <w:rFonts w:eastAsia="Cambria" w:cs="Arial"/>
          <w:color w:val="000000" w:themeColor="text1"/>
          <w:kern w:val="24"/>
          <w:szCs w:val="20"/>
        </w:rPr>
        <w:t xml:space="preserve"> na evidenciji ZZZCG </w:t>
      </w:r>
      <w:r w:rsidR="00FA73E2" w:rsidRPr="006B71DC">
        <w:rPr>
          <w:rFonts w:eastAsia="Cambria" w:cs="Arial"/>
          <w:color w:val="000000" w:themeColor="text1"/>
          <w:kern w:val="24"/>
          <w:szCs w:val="20"/>
        </w:rPr>
        <w:t>(Biro rada Podgorica i Biro rada Golubovci)</w:t>
      </w:r>
    </w:p>
    <w:p w:rsidR="008049B7" w:rsidRDefault="008049B7" w:rsidP="005526BB">
      <w:pPr>
        <w:jc w:val="both"/>
        <w:rPr>
          <w:rFonts w:eastAsia="Cambria" w:cs="Arial"/>
          <w:color w:val="000000" w:themeColor="text1"/>
          <w:kern w:val="24"/>
          <w:szCs w:val="20"/>
        </w:rPr>
      </w:pPr>
    </w:p>
    <w:p w:rsidR="008049B7" w:rsidRDefault="006B71DC" w:rsidP="005526BB">
      <w:pPr>
        <w:jc w:val="both"/>
        <w:rPr>
          <w:rFonts w:eastAsia="Cambria" w:cs="Arial"/>
          <w:color w:val="000000" w:themeColor="text1"/>
          <w:kern w:val="24"/>
          <w:szCs w:val="20"/>
        </w:rPr>
      </w:pPr>
      <w:r w:rsidRPr="006B71DC">
        <w:rPr>
          <w:noProof/>
          <w:lang w:val="en-US"/>
        </w:rPr>
        <w:drawing>
          <wp:inline distT="0" distB="0" distL="0" distR="0">
            <wp:extent cx="5868035" cy="1232034"/>
            <wp:effectExtent l="0" t="0" r="0" b="635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870240" cy="1232497"/>
                    </a:xfrm>
                    <a:prstGeom prst="rect">
                      <a:avLst/>
                    </a:prstGeom>
                  </pic:spPr>
                </pic:pic>
              </a:graphicData>
            </a:graphic>
          </wp:inline>
        </w:drawing>
      </w:r>
    </w:p>
    <w:p w:rsidR="003615B2" w:rsidRPr="0015351C" w:rsidRDefault="00596F84" w:rsidP="005526BB">
      <w:pPr>
        <w:jc w:val="right"/>
        <w:rPr>
          <w:i/>
          <w:iCs/>
          <w:color w:val="000000" w:themeColor="text1"/>
          <w:sz w:val="18"/>
        </w:rPr>
      </w:pPr>
      <w:r>
        <w:rPr>
          <w:i/>
          <w:iCs/>
          <w:color w:val="000000" w:themeColor="text1"/>
          <w:sz w:val="18"/>
        </w:rPr>
        <w:t xml:space="preserve">                     </w:t>
      </w:r>
      <w:r w:rsidR="003615B2" w:rsidRPr="0015351C">
        <w:rPr>
          <w:i/>
          <w:iCs/>
          <w:color w:val="000000" w:themeColor="text1"/>
          <w:sz w:val="18"/>
        </w:rPr>
        <w:t>Izvor: Zavod za zapošljavanje Crne Gore, Izvještaji o radu 2018-2020.</w:t>
      </w:r>
    </w:p>
    <w:p w:rsidR="00C7285E" w:rsidRDefault="00C7285E" w:rsidP="00C7285E">
      <w:pPr>
        <w:jc w:val="both"/>
        <w:rPr>
          <w:rFonts w:cs="Arial"/>
          <w:iCs/>
          <w:color w:val="000000" w:themeColor="text1"/>
          <w:sz w:val="22"/>
          <w:szCs w:val="22"/>
        </w:rPr>
      </w:pPr>
    </w:p>
    <w:p w:rsidR="00C7285E" w:rsidRDefault="00C7285E" w:rsidP="00C7285E">
      <w:pPr>
        <w:jc w:val="both"/>
        <w:rPr>
          <w:rFonts w:cs="Arial"/>
          <w:iCs/>
          <w:color w:val="000000" w:themeColor="text1"/>
          <w:sz w:val="22"/>
          <w:szCs w:val="22"/>
        </w:rPr>
      </w:pPr>
      <w:r>
        <w:rPr>
          <w:rFonts w:cs="Arial"/>
          <w:iCs/>
          <w:color w:val="000000" w:themeColor="text1"/>
          <w:sz w:val="22"/>
          <w:szCs w:val="22"/>
        </w:rPr>
        <w:t xml:space="preserve">Sa stanovišta starosne strukture, petina ukupnog broja registrovanih nezaposlenih su mlađi od 30 godina. Taj procenat se tokom prethodnih godina smanjivao. U 2018. je bio na nivou od 32,7%, da bi nakon pada od 1,5 procentnih poena u 2019. bio na nivou od 25,3% na kraju drugog kvartala 2020. godine. Nezaposlenost ispod 30. godine je u uporednom periodu VI 2020 u odnosu na 2018. smanjena za 19,7%. Sa stanovišta pola, nema značajnih razlika u pogledu nezaposlenosti mladih ispod 30 godina. </w:t>
      </w:r>
    </w:p>
    <w:p w:rsidR="00C45308" w:rsidRPr="0015351C" w:rsidRDefault="00C45308" w:rsidP="005526BB">
      <w:pPr>
        <w:jc w:val="both"/>
        <w:rPr>
          <w:rFonts w:cs="Arial"/>
          <w:i/>
          <w:iCs/>
          <w:color w:val="000000" w:themeColor="text1"/>
          <w:sz w:val="18"/>
        </w:rPr>
      </w:pPr>
    </w:p>
    <w:p w:rsidR="008F2C4C" w:rsidRPr="00A63ABD" w:rsidRDefault="00A63ABD" w:rsidP="005526BB">
      <w:pPr>
        <w:jc w:val="both"/>
        <w:rPr>
          <w:rFonts w:cs="Arial"/>
          <w:iCs/>
          <w:color w:val="000000" w:themeColor="text1"/>
          <w:sz w:val="22"/>
          <w:szCs w:val="22"/>
        </w:rPr>
      </w:pPr>
      <w:r w:rsidRPr="00A63ABD">
        <w:rPr>
          <w:rFonts w:cs="Arial"/>
          <w:iCs/>
          <w:color w:val="000000" w:themeColor="text1"/>
          <w:sz w:val="22"/>
          <w:szCs w:val="22"/>
        </w:rPr>
        <w:t>Sa druge strane, blizu polovin</w:t>
      </w:r>
      <w:r w:rsidR="006C57C4">
        <w:rPr>
          <w:rFonts w:cs="Arial"/>
          <w:iCs/>
          <w:color w:val="000000" w:themeColor="text1"/>
          <w:sz w:val="22"/>
          <w:szCs w:val="22"/>
        </w:rPr>
        <w:t>e</w:t>
      </w:r>
      <w:r w:rsidRPr="00A63ABD">
        <w:rPr>
          <w:rFonts w:cs="Arial"/>
          <w:iCs/>
          <w:color w:val="000000" w:themeColor="text1"/>
          <w:sz w:val="22"/>
          <w:szCs w:val="22"/>
        </w:rPr>
        <w:t xml:space="preserve"> nezaposlenih su stariji od 40 godina, što predstavlja jedan od značajnih izazova lokalnog tržišta rada. U odnosu na ukupan broj, četvrtina su stariji od 50 godina. </w:t>
      </w:r>
      <w:r>
        <w:rPr>
          <w:rFonts w:cs="Arial"/>
          <w:iCs/>
          <w:color w:val="000000" w:themeColor="text1"/>
          <w:sz w:val="22"/>
          <w:szCs w:val="22"/>
        </w:rPr>
        <w:t xml:space="preserve">Među nezaposlenim ženama 14,1% su nezaposlene žene iznad 50 godina. </w:t>
      </w:r>
    </w:p>
    <w:p w:rsidR="005526BB" w:rsidRDefault="005526BB" w:rsidP="005526BB">
      <w:pPr>
        <w:jc w:val="both"/>
        <w:rPr>
          <w:rFonts w:cs="Arial"/>
          <w:b/>
          <w:bCs/>
          <w:i/>
          <w:iCs/>
          <w:color w:val="000000" w:themeColor="text1"/>
          <w:sz w:val="22"/>
          <w:szCs w:val="22"/>
        </w:rPr>
      </w:pPr>
    </w:p>
    <w:p w:rsidR="003E247B" w:rsidRPr="00FC2D96" w:rsidRDefault="00266F07" w:rsidP="005526BB">
      <w:pPr>
        <w:jc w:val="both"/>
        <w:rPr>
          <w:rFonts w:cs="Arial"/>
          <w:iCs/>
          <w:color w:val="000000" w:themeColor="text1"/>
          <w:sz w:val="22"/>
          <w:szCs w:val="22"/>
        </w:rPr>
      </w:pPr>
      <w:r w:rsidRPr="00FC2D96">
        <w:rPr>
          <w:rFonts w:cs="Arial"/>
          <w:i/>
          <w:iCs/>
          <w:color w:val="000000" w:themeColor="text1"/>
          <w:sz w:val="22"/>
          <w:szCs w:val="22"/>
        </w:rPr>
        <w:t>Lica sa invaliditetom</w:t>
      </w:r>
      <w:r w:rsidR="001F0283" w:rsidRPr="00FC2D96">
        <w:rPr>
          <w:rFonts w:cs="Arial"/>
          <w:i/>
          <w:iCs/>
          <w:color w:val="000000" w:themeColor="text1"/>
          <w:sz w:val="22"/>
          <w:szCs w:val="22"/>
        </w:rPr>
        <w:t xml:space="preserve"> </w:t>
      </w:r>
    </w:p>
    <w:p w:rsidR="00CC1972" w:rsidRDefault="00CC1972" w:rsidP="005526BB">
      <w:pPr>
        <w:rPr>
          <w:rFonts w:eastAsia="Cambria" w:cs="Arial"/>
          <w:color w:val="000000" w:themeColor="text1"/>
          <w:kern w:val="24"/>
          <w:szCs w:val="20"/>
        </w:rPr>
      </w:pPr>
    </w:p>
    <w:p w:rsidR="00E312BF" w:rsidRDefault="00E312BF" w:rsidP="005526BB">
      <w:pPr>
        <w:jc w:val="both"/>
        <w:rPr>
          <w:rFonts w:cs="Arial"/>
          <w:iCs/>
          <w:color w:val="000000" w:themeColor="text1"/>
          <w:sz w:val="22"/>
          <w:szCs w:val="22"/>
        </w:rPr>
      </w:pPr>
      <w:r w:rsidRPr="00E312BF">
        <w:rPr>
          <w:rFonts w:cs="Arial"/>
          <w:iCs/>
          <w:color w:val="000000" w:themeColor="text1"/>
          <w:sz w:val="22"/>
          <w:szCs w:val="22"/>
        </w:rPr>
        <w:t xml:space="preserve">Na evidenciji </w:t>
      </w:r>
      <w:r w:rsidR="00D2254D">
        <w:rPr>
          <w:rFonts w:cs="Arial"/>
          <w:iCs/>
          <w:color w:val="000000" w:themeColor="text1"/>
          <w:sz w:val="22"/>
          <w:szCs w:val="22"/>
        </w:rPr>
        <w:t xml:space="preserve">u </w:t>
      </w:r>
      <w:r w:rsidR="00301976">
        <w:rPr>
          <w:rFonts w:cs="Arial"/>
          <w:iCs/>
          <w:color w:val="000000" w:themeColor="text1"/>
          <w:sz w:val="22"/>
          <w:szCs w:val="22"/>
        </w:rPr>
        <w:t>biroima rada Podgorica i Golubovci</w:t>
      </w:r>
      <w:r w:rsidRPr="00E312BF">
        <w:rPr>
          <w:rFonts w:cs="Arial"/>
          <w:iCs/>
          <w:color w:val="000000" w:themeColor="text1"/>
          <w:sz w:val="22"/>
          <w:szCs w:val="22"/>
        </w:rPr>
        <w:t xml:space="preserve">, na kraju drugog kvartala 2020. je bilo </w:t>
      </w:r>
      <w:r w:rsidR="00A9256F">
        <w:rPr>
          <w:rFonts w:cs="Arial"/>
          <w:iCs/>
          <w:color w:val="000000" w:themeColor="text1"/>
          <w:sz w:val="22"/>
          <w:szCs w:val="22"/>
        </w:rPr>
        <w:t xml:space="preserve">prijavljeno </w:t>
      </w:r>
      <w:r w:rsidRPr="00E312BF">
        <w:rPr>
          <w:rFonts w:cs="Arial"/>
          <w:iCs/>
          <w:color w:val="000000" w:themeColor="text1"/>
          <w:sz w:val="22"/>
          <w:szCs w:val="22"/>
        </w:rPr>
        <w:t xml:space="preserve">881 </w:t>
      </w:r>
      <w:r w:rsidR="006C57C4" w:rsidRPr="00E312BF">
        <w:rPr>
          <w:rFonts w:cs="Arial"/>
          <w:iCs/>
          <w:color w:val="000000" w:themeColor="text1"/>
          <w:sz w:val="22"/>
          <w:szCs w:val="22"/>
        </w:rPr>
        <w:t>nezaposlen</w:t>
      </w:r>
      <w:r w:rsidR="006C57C4">
        <w:rPr>
          <w:rFonts w:cs="Arial"/>
          <w:iCs/>
          <w:color w:val="000000" w:themeColor="text1"/>
          <w:sz w:val="22"/>
          <w:szCs w:val="22"/>
        </w:rPr>
        <w:t>o</w:t>
      </w:r>
      <w:r w:rsidR="006C57C4" w:rsidRPr="00E312BF">
        <w:rPr>
          <w:rFonts w:cs="Arial"/>
          <w:iCs/>
          <w:color w:val="000000" w:themeColor="text1"/>
          <w:sz w:val="22"/>
          <w:szCs w:val="22"/>
        </w:rPr>
        <w:t xml:space="preserve"> </w:t>
      </w:r>
      <w:r w:rsidRPr="00E312BF">
        <w:rPr>
          <w:rFonts w:cs="Arial"/>
          <w:iCs/>
          <w:color w:val="000000" w:themeColor="text1"/>
          <w:sz w:val="22"/>
          <w:szCs w:val="22"/>
        </w:rPr>
        <w:t>lic</w:t>
      </w:r>
      <w:r w:rsidR="006C57C4">
        <w:rPr>
          <w:rFonts w:cs="Arial"/>
          <w:iCs/>
          <w:color w:val="000000" w:themeColor="text1"/>
          <w:sz w:val="22"/>
          <w:szCs w:val="22"/>
        </w:rPr>
        <w:t>e</w:t>
      </w:r>
      <w:r w:rsidRPr="00E312BF">
        <w:rPr>
          <w:rFonts w:cs="Arial"/>
          <w:iCs/>
          <w:color w:val="000000" w:themeColor="text1"/>
          <w:sz w:val="22"/>
          <w:szCs w:val="22"/>
        </w:rPr>
        <w:t xml:space="preserve"> sa invaliditetom. </w:t>
      </w:r>
      <w:r>
        <w:rPr>
          <w:rFonts w:cs="Arial"/>
          <w:iCs/>
          <w:color w:val="000000" w:themeColor="text1"/>
          <w:sz w:val="22"/>
          <w:szCs w:val="22"/>
        </w:rPr>
        <w:t xml:space="preserve">U odnosu na prethodni period, broj lica sa invaliditetom na evidenciji nezaposlenih je rastao (na kraju drugog kvartala 2020. u odnosu na 2018. isti je bio veći za 50,3%, a u odnosu na 2019. za 5,3%). </w:t>
      </w:r>
    </w:p>
    <w:p w:rsidR="00E312BF" w:rsidRDefault="00E312BF" w:rsidP="005526BB">
      <w:pPr>
        <w:jc w:val="both"/>
        <w:rPr>
          <w:rFonts w:cs="Arial"/>
          <w:iCs/>
          <w:color w:val="000000" w:themeColor="text1"/>
          <w:sz w:val="22"/>
          <w:szCs w:val="22"/>
        </w:rPr>
      </w:pPr>
      <w:r>
        <w:rPr>
          <w:rFonts w:cs="Arial"/>
          <w:iCs/>
          <w:color w:val="000000" w:themeColor="text1"/>
          <w:sz w:val="22"/>
          <w:szCs w:val="22"/>
        </w:rPr>
        <w:t>Dodatno, tokom posmatranog perioda učešće žena u ukupnom broju nezaposlenih lica sa invaliditet</w:t>
      </w:r>
      <w:r w:rsidR="006B71DC">
        <w:rPr>
          <w:rFonts w:cs="Arial"/>
          <w:iCs/>
          <w:color w:val="000000" w:themeColor="text1"/>
          <w:sz w:val="22"/>
          <w:szCs w:val="22"/>
        </w:rPr>
        <w:t>o</w:t>
      </w:r>
      <w:r>
        <w:rPr>
          <w:rFonts w:cs="Arial"/>
          <w:iCs/>
          <w:color w:val="000000" w:themeColor="text1"/>
          <w:sz w:val="22"/>
          <w:szCs w:val="22"/>
        </w:rPr>
        <w:t>m je poraslo sa 49% koliko je iznosilo 2018. na 57% na kraju drugog kvartala 2020. godine. Skoro udvostručen rast ovog broja ukazuje na problem tržišta rada i potrebu za definisanjem mjera u pravcu aktivacije ove kategorije nezaposlenih. Dodatni izazov predstavlja obrazovna struktura nezaposlenih lica sa invaliditetom. Od ukupnog broja, blizu polovin</w:t>
      </w:r>
      <w:r w:rsidR="006C57C4">
        <w:rPr>
          <w:rFonts w:cs="Arial"/>
          <w:iCs/>
          <w:color w:val="000000" w:themeColor="text1"/>
          <w:sz w:val="22"/>
          <w:szCs w:val="22"/>
        </w:rPr>
        <w:t>e</w:t>
      </w:r>
      <w:r>
        <w:rPr>
          <w:rFonts w:cs="Arial"/>
          <w:iCs/>
          <w:color w:val="000000" w:themeColor="text1"/>
          <w:sz w:val="22"/>
          <w:szCs w:val="22"/>
        </w:rPr>
        <w:t xml:space="preserve"> (45,5%) su nekvalifikovani nezaposleni, dok je 50,9% srednjekvalifikovana radna snaga (VI</w:t>
      </w:r>
      <w:r w:rsidR="006C57C4">
        <w:rPr>
          <w:rFonts w:cs="Arial"/>
          <w:iCs/>
          <w:color w:val="000000" w:themeColor="text1"/>
          <w:sz w:val="22"/>
          <w:szCs w:val="22"/>
        </w:rPr>
        <w:t xml:space="preserve"> </w:t>
      </w:r>
      <w:r>
        <w:rPr>
          <w:rFonts w:cs="Arial"/>
          <w:iCs/>
          <w:color w:val="000000" w:themeColor="text1"/>
          <w:sz w:val="22"/>
          <w:szCs w:val="22"/>
        </w:rPr>
        <w:t>2020). Svega 3,6% su visokokvalifikovani nezaposleni (</w:t>
      </w:r>
      <w:r w:rsidR="00FA1563">
        <w:rPr>
          <w:rFonts w:cs="Arial"/>
          <w:iCs/>
          <w:color w:val="000000" w:themeColor="text1"/>
          <w:sz w:val="22"/>
          <w:szCs w:val="22"/>
        </w:rPr>
        <w:t>VI 2020)</w:t>
      </w:r>
      <w:r>
        <w:rPr>
          <w:rFonts w:cs="Arial"/>
          <w:iCs/>
          <w:color w:val="000000" w:themeColor="text1"/>
          <w:sz w:val="22"/>
          <w:szCs w:val="22"/>
        </w:rPr>
        <w:t>. U odnosu na 2018. broj</w:t>
      </w:r>
      <w:r w:rsidR="00FA1563">
        <w:rPr>
          <w:rFonts w:cs="Arial"/>
          <w:iCs/>
          <w:color w:val="000000" w:themeColor="text1"/>
          <w:sz w:val="22"/>
          <w:szCs w:val="22"/>
        </w:rPr>
        <w:t xml:space="preserve"> niskokvalifikovanih nezaposlenih lica sa invaliditetom je porastao za 41,2% na kraju šestog mjeseca 2020. </w:t>
      </w:r>
    </w:p>
    <w:p w:rsidR="005526BB" w:rsidRDefault="005526BB" w:rsidP="005526BB">
      <w:pPr>
        <w:rPr>
          <w:rFonts w:eastAsia="Cambria" w:cs="Arial"/>
          <w:color w:val="000000" w:themeColor="text1"/>
          <w:kern w:val="24"/>
          <w:szCs w:val="20"/>
        </w:rPr>
      </w:pPr>
    </w:p>
    <w:p w:rsidR="00527B4C" w:rsidRDefault="00682ADA" w:rsidP="005526BB">
      <w:pPr>
        <w:rPr>
          <w:rFonts w:eastAsia="Cambria" w:cs="Arial"/>
          <w:color w:val="000000" w:themeColor="text1"/>
          <w:kern w:val="24"/>
          <w:szCs w:val="20"/>
        </w:rPr>
      </w:pPr>
      <w:r w:rsidRPr="00266F07">
        <w:rPr>
          <w:rFonts w:eastAsia="Cambria" w:cs="Arial"/>
          <w:color w:val="000000" w:themeColor="text1"/>
          <w:kern w:val="24"/>
          <w:szCs w:val="20"/>
        </w:rPr>
        <w:t>Tabela</w:t>
      </w:r>
      <w:r w:rsidR="00085AE2" w:rsidRPr="00266F07">
        <w:rPr>
          <w:rFonts w:eastAsia="Cambria" w:cs="Arial"/>
          <w:color w:val="000000" w:themeColor="text1"/>
          <w:kern w:val="24"/>
          <w:szCs w:val="20"/>
        </w:rPr>
        <w:t xml:space="preserve"> </w:t>
      </w:r>
      <w:r w:rsidR="00E62642" w:rsidRPr="00266F07">
        <w:rPr>
          <w:rFonts w:eastAsia="Cambria" w:cs="Arial"/>
          <w:color w:val="000000" w:themeColor="text1"/>
          <w:kern w:val="24"/>
          <w:szCs w:val="20"/>
        </w:rPr>
        <w:t>1</w:t>
      </w:r>
      <w:r w:rsidR="00595AD8">
        <w:rPr>
          <w:rFonts w:eastAsia="Cambria" w:cs="Arial"/>
          <w:color w:val="000000" w:themeColor="text1"/>
          <w:kern w:val="24"/>
          <w:szCs w:val="20"/>
        </w:rPr>
        <w:t>6</w:t>
      </w:r>
      <w:r w:rsidR="00830225" w:rsidRPr="00266F07">
        <w:rPr>
          <w:rFonts w:eastAsia="Cambria" w:cs="Arial"/>
          <w:color w:val="000000" w:themeColor="text1"/>
          <w:kern w:val="24"/>
          <w:szCs w:val="20"/>
        </w:rPr>
        <w:t xml:space="preserve">: </w:t>
      </w:r>
      <w:r w:rsidR="00443B66" w:rsidRPr="00266F07">
        <w:rPr>
          <w:rFonts w:eastAsia="Cambria" w:cs="Arial"/>
          <w:color w:val="000000" w:themeColor="text1"/>
          <w:kern w:val="24"/>
          <w:szCs w:val="20"/>
        </w:rPr>
        <w:t xml:space="preserve">Lica sa invaliditetom prijavljena na evidenciji </w:t>
      </w:r>
      <w:r w:rsidR="00FA73E2" w:rsidRPr="006B71DC">
        <w:rPr>
          <w:rFonts w:eastAsia="Cambria" w:cs="Arial"/>
          <w:color w:val="000000" w:themeColor="text1"/>
          <w:kern w:val="24"/>
          <w:szCs w:val="20"/>
        </w:rPr>
        <w:t xml:space="preserve">(Biro rada Podgorica </w:t>
      </w:r>
      <w:r w:rsidR="00A140C7">
        <w:rPr>
          <w:rFonts w:eastAsia="Cambria" w:cs="Arial"/>
          <w:color w:val="000000" w:themeColor="text1"/>
          <w:kern w:val="24"/>
          <w:szCs w:val="20"/>
        </w:rPr>
        <w:t>i</w:t>
      </w:r>
      <w:r w:rsidR="00FA73E2" w:rsidRPr="006B71DC">
        <w:rPr>
          <w:rFonts w:eastAsia="Cambria" w:cs="Arial"/>
          <w:color w:val="000000" w:themeColor="text1"/>
          <w:kern w:val="24"/>
          <w:szCs w:val="20"/>
        </w:rPr>
        <w:t xml:space="preserve"> Biro rada Golubovci)</w:t>
      </w:r>
    </w:p>
    <w:p w:rsidR="00D2254D" w:rsidRPr="00266F07" w:rsidRDefault="00D2254D" w:rsidP="005526BB">
      <w:pPr>
        <w:rPr>
          <w:rFonts w:cs="Arial"/>
          <w:i/>
          <w:color w:val="000000" w:themeColor="text1"/>
          <w:szCs w:val="20"/>
        </w:rPr>
      </w:pPr>
    </w:p>
    <w:tbl>
      <w:tblPr>
        <w:tblStyle w:val="Navadnatabela21"/>
        <w:tblW w:w="8368" w:type="dxa"/>
        <w:tblInd w:w="416" w:type="dxa"/>
        <w:tblLook w:val="0600"/>
      </w:tblPr>
      <w:tblGrid>
        <w:gridCol w:w="1778"/>
        <w:gridCol w:w="1118"/>
        <w:gridCol w:w="1007"/>
        <w:gridCol w:w="1062"/>
        <w:gridCol w:w="1130"/>
        <w:gridCol w:w="1118"/>
        <w:gridCol w:w="1155"/>
      </w:tblGrid>
      <w:tr w:rsidR="00BC729F" w:rsidRPr="00C75D9B" w:rsidTr="00073BDA">
        <w:trPr>
          <w:trHeight w:val="332"/>
        </w:trPr>
        <w:tc>
          <w:tcPr>
            <w:tcW w:w="1778" w:type="dxa"/>
            <w:vMerge w:val="restart"/>
            <w:tcBorders>
              <w:top w:val="single" w:sz="4" w:space="0" w:color="7F7F7F" w:themeColor="text1" w:themeTint="80"/>
              <w:bottom w:val="single" w:sz="4" w:space="0" w:color="BFBFBF" w:themeColor="background1" w:themeShade="BF"/>
            </w:tcBorders>
            <w:shd w:val="clear" w:color="auto" w:fill="FFD966" w:themeFill="accent4" w:themeFillTint="99"/>
            <w:hideMark/>
          </w:tcPr>
          <w:p w:rsidR="00BC729F" w:rsidRPr="00C75D9B" w:rsidRDefault="00BC729F" w:rsidP="005526BB">
            <w:pPr>
              <w:jc w:val="center"/>
              <w:rPr>
                <w:rFonts w:cs="Arial"/>
                <w:iCs/>
                <w:color w:val="000000" w:themeColor="text1"/>
                <w:sz w:val="18"/>
              </w:rPr>
            </w:pPr>
          </w:p>
        </w:tc>
        <w:tc>
          <w:tcPr>
            <w:tcW w:w="2125" w:type="dxa"/>
            <w:gridSpan w:val="2"/>
            <w:tcBorders>
              <w:top w:val="single" w:sz="4" w:space="0" w:color="7F7F7F" w:themeColor="text1" w:themeTint="80"/>
              <w:bottom w:val="single" w:sz="4" w:space="0" w:color="808080" w:themeColor="background1" w:themeShade="80"/>
            </w:tcBorders>
            <w:shd w:val="clear" w:color="auto" w:fill="FFD966" w:themeFill="accent4" w:themeFillTint="99"/>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2018</w:t>
            </w:r>
          </w:p>
        </w:tc>
        <w:tc>
          <w:tcPr>
            <w:tcW w:w="2192" w:type="dxa"/>
            <w:gridSpan w:val="2"/>
            <w:tcBorders>
              <w:top w:val="single" w:sz="4" w:space="0" w:color="7F7F7F" w:themeColor="text1" w:themeTint="80"/>
              <w:bottom w:val="single" w:sz="4" w:space="0" w:color="808080" w:themeColor="background1" w:themeShade="80"/>
            </w:tcBorders>
            <w:shd w:val="clear" w:color="auto" w:fill="FFD966" w:themeFill="accent4" w:themeFillTint="99"/>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2019</w:t>
            </w:r>
          </w:p>
        </w:tc>
        <w:tc>
          <w:tcPr>
            <w:tcW w:w="2273" w:type="dxa"/>
            <w:gridSpan w:val="2"/>
            <w:tcBorders>
              <w:top w:val="single" w:sz="4" w:space="0" w:color="7F7F7F" w:themeColor="text1" w:themeTint="80"/>
              <w:bottom w:val="single" w:sz="4" w:space="0" w:color="808080" w:themeColor="background1" w:themeShade="80"/>
            </w:tcBorders>
            <w:shd w:val="clear" w:color="auto" w:fill="FFD966" w:themeFill="accent4" w:themeFillTint="99"/>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VI 2020</w:t>
            </w:r>
          </w:p>
        </w:tc>
      </w:tr>
      <w:tr w:rsidR="00BC729F" w:rsidRPr="00C75D9B" w:rsidTr="00073BDA">
        <w:trPr>
          <w:trHeight w:val="259"/>
        </w:trPr>
        <w:tc>
          <w:tcPr>
            <w:tcW w:w="0" w:type="auto"/>
            <w:vMerge/>
            <w:tcBorders>
              <w:top w:val="single" w:sz="4" w:space="0" w:color="BFBFBF" w:themeColor="background1" w:themeShade="BF"/>
            </w:tcBorders>
            <w:shd w:val="clear" w:color="auto" w:fill="FFD966" w:themeFill="accent4" w:themeFillTint="99"/>
            <w:hideMark/>
          </w:tcPr>
          <w:p w:rsidR="00BC729F" w:rsidRPr="00C75D9B" w:rsidRDefault="00BC729F" w:rsidP="005526BB">
            <w:pPr>
              <w:jc w:val="center"/>
              <w:rPr>
                <w:rFonts w:cs="Arial"/>
                <w:iCs/>
                <w:color w:val="000000" w:themeColor="text1"/>
                <w:sz w:val="18"/>
              </w:rPr>
            </w:pPr>
          </w:p>
        </w:tc>
        <w:tc>
          <w:tcPr>
            <w:tcW w:w="1118" w:type="dxa"/>
            <w:tcBorders>
              <w:top w:val="single" w:sz="4" w:space="0" w:color="808080" w:themeColor="background1" w:themeShade="80"/>
            </w:tcBorders>
            <w:shd w:val="clear" w:color="auto" w:fill="FFD966" w:themeFill="accent4" w:themeFillTint="99"/>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Ukupno</w:t>
            </w:r>
          </w:p>
        </w:tc>
        <w:tc>
          <w:tcPr>
            <w:tcW w:w="1007" w:type="dxa"/>
            <w:tcBorders>
              <w:top w:val="single" w:sz="4" w:space="0" w:color="808080" w:themeColor="background1" w:themeShade="80"/>
            </w:tcBorders>
            <w:shd w:val="clear" w:color="auto" w:fill="FFD966" w:themeFill="accent4" w:themeFillTint="99"/>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Žene</w:t>
            </w:r>
          </w:p>
        </w:tc>
        <w:tc>
          <w:tcPr>
            <w:tcW w:w="1062" w:type="dxa"/>
            <w:tcBorders>
              <w:top w:val="single" w:sz="4" w:space="0" w:color="808080" w:themeColor="background1" w:themeShade="80"/>
            </w:tcBorders>
            <w:shd w:val="clear" w:color="auto" w:fill="FFD966" w:themeFill="accent4" w:themeFillTint="99"/>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Ukupno</w:t>
            </w:r>
          </w:p>
        </w:tc>
        <w:tc>
          <w:tcPr>
            <w:tcW w:w="1130" w:type="dxa"/>
            <w:tcBorders>
              <w:top w:val="single" w:sz="4" w:space="0" w:color="808080" w:themeColor="background1" w:themeShade="80"/>
            </w:tcBorders>
            <w:shd w:val="clear" w:color="auto" w:fill="FFD966" w:themeFill="accent4" w:themeFillTint="99"/>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Žene</w:t>
            </w:r>
          </w:p>
        </w:tc>
        <w:tc>
          <w:tcPr>
            <w:tcW w:w="1118" w:type="dxa"/>
            <w:tcBorders>
              <w:top w:val="single" w:sz="4" w:space="0" w:color="808080" w:themeColor="background1" w:themeShade="80"/>
            </w:tcBorders>
            <w:shd w:val="clear" w:color="auto" w:fill="FFD966" w:themeFill="accent4" w:themeFillTint="99"/>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Ukupno</w:t>
            </w:r>
          </w:p>
        </w:tc>
        <w:tc>
          <w:tcPr>
            <w:tcW w:w="1155" w:type="dxa"/>
            <w:tcBorders>
              <w:top w:val="single" w:sz="4" w:space="0" w:color="808080" w:themeColor="background1" w:themeShade="80"/>
            </w:tcBorders>
            <w:shd w:val="clear" w:color="auto" w:fill="FFD966" w:themeFill="accent4" w:themeFillTint="99"/>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Žene</w:t>
            </w:r>
          </w:p>
        </w:tc>
      </w:tr>
      <w:tr w:rsidR="00BC729F" w:rsidRPr="00C75D9B" w:rsidTr="00073BDA">
        <w:trPr>
          <w:trHeight w:val="188"/>
        </w:trPr>
        <w:tc>
          <w:tcPr>
            <w:tcW w:w="1778" w:type="dxa"/>
            <w:hideMark/>
          </w:tcPr>
          <w:p w:rsidR="00BC729F" w:rsidRPr="00C75D9B" w:rsidRDefault="00CC1972" w:rsidP="005526BB">
            <w:pPr>
              <w:jc w:val="center"/>
              <w:rPr>
                <w:rFonts w:cs="Arial"/>
                <w:iCs/>
                <w:color w:val="000000" w:themeColor="text1"/>
                <w:sz w:val="18"/>
              </w:rPr>
            </w:pPr>
            <w:r>
              <w:rPr>
                <w:rFonts w:cs="Arial"/>
                <w:iCs/>
                <w:color w:val="000000" w:themeColor="text1"/>
                <w:sz w:val="18"/>
              </w:rPr>
              <w:t>Podgorica</w:t>
            </w:r>
          </w:p>
        </w:tc>
        <w:tc>
          <w:tcPr>
            <w:tcW w:w="1118" w:type="dxa"/>
          </w:tcPr>
          <w:p w:rsidR="00BC729F" w:rsidRPr="00C75D9B" w:rsidRDefault="00A63ABD" w:rsidP="005526BB">
            <w:pPr>
              <w:jc w:val="center"/>
              <w:rPr>
                <w:rFonts w:cs="Arial"/>
                <w:iCs/>
                <w:color w:val="000000" w:themeColor="text1"/>
                <w:sz w:val="18"/>
              </w:rPr>
            </w:pPr>
            <w:r>
              <w:rPr>
                <w:rFonts w:cs="Arial"/>
                <w:iCs/>
                <w:color w:val="000000" w:themeColor="text1"/>
                <w:sz w:val="18"/>
              </w:rPr>
              <w:t>586</w:t>
            </w:r>
          </w:p>
        </w:tc>
        <w:tc>
          <w:tcPr>
            <w:tcW w:w="1007" w:type="dxa"/>
          </w:tcPr>
          <w:p w:rsidR="00BC729F" w:rsidRPr="00C75D9B" w:rsidRDefault="00A63ABD" w:rsidP="005526BB">
            <w:pPr>
              <w:jc w:val="center"/>
              <w:rPr>
                <w:rFonts w:cs="Arial"/>
                <w:iCs/>
                <w:color w:val="000000" w:themeColor="text1"/>
                <w:sz w:val="18"/>
              </w:rPr>
            </w:pPr>
            <w:r>
              <w:rPr>
                <w:rFonts w:cs="Arial"/>
                <w:iCs/>
                <w:color w:val="000000" w:themeColor="text1"/>
                <w:sz w:val="18"/>
              </w:rPr>
              <w:t>287</w:t>
            </w:r>
          </w:p>
        </w:tc>
        <w:tc>
          <w:tcPr>
            <w:tcW w:w="1062" w:type="dxa"/>
          </w:tcPr>
          <w:p w:rsidR="00BC729F" w:rsidRPr="00C75D9B" w:rsidRDefault="00A63ABD" w:rsidP="005526BB">
            <w:pPr>
              <w:jc w:val="center"/>
              <w:rPr>
                <w:rFonts w:cs="Arial"/>
                <w:iCs/>
                <w:color w:val="000000" w:themeColor="text1"/>
                <w:sz w:val="18"/>
              </w:rPr>
            </w:pPr>
            <w:r>
              <w:rPr>
                <w:rFonts w:cs="Arial"/>
                <w:iCs/>
                <w:color w:val="000000" w:themeColor="text1"/>
                <w:sz w:val="18"/>
              </w:rPr>
              <w:t>837</w:t>
            </w:r>
          </w:p>
        </w:tc>
        <w:tc>
          <w:tcPr>
            <w:tcW w:w="1130" w:type="dxa"/>
          </w:tcPr>
          <w:p w:rsidR="00BC729F" w:rsidRPr="00C75D9B" w:rsidRDefault="00A63ABD" w:rsidP="005526BB">
            <w:pPr>
              <w:jc w:val="center"/>
              <w:rPr>
                <w:rFonts w:cs="Arial"/>
                <w:iCs/>
                <w:color w:val="000000" w:themeColor="text1"/>
                <w:sz w:val="18"/>
              </w:rPr>
            </w:pPr>
            <w:r>
              <w:rPr>
                <w:rFonts w:cs="Arial"/>
                <w:iCs/>
                <w:color w:val="000000" w:themeColor="text1"/>
                <w:sz w:val="18"/>
              </w:rPr>
              <w:t>480</w:t>
            </w:r>
          </w:p>
        </w:tc>
        <w:tc>
          <w:tcPr>
            <w:tcW w:w="1118" w:type="dxa"/>
          </w:tcPr>
          <w:p w:rsidR="00BC729F" w:rsidRPr="00C75D9B" w:rsidRDefault="00A63ABD" w:rsidP="005526BB">
            <w:pPr>
              <w:jc w:val="center"/>
              <w:rPr>
                <w:rFonts w:cs="Arial"/>
                <w:iCs/>
                <w:color w:val="000000" w:themeColor="text1"/>
                <w:sz w:val="18"/>
              </w:rPr>
            </w:pPr>
            <w:r>
              <w:rPr>
                <w:rFonts w:cs="Arial"/>
                <w:iCs/>
                <w:color w:val="000000" w:themeColor="text1"/>
                <w:sz w:val="18"/>
              </w:rPr>
              <w:t>881</w:t>
            </w:r>
          </w:p>
        </w:tc>
        <w:tc>
          <w:tcPr>
            <w:tcW w:w="1155" w:type="dxa"/>
          </w:tcPr>
          <w:p w:rsidR="00BC729F" w:rsidRPr="00C75D9B" w:rsidRDefault="00A63ABD" w:rsidP="005526BB">
            <w:pPr>
              <w:jc w:val="center"/>
              <w:rPr>
                <w:rFonts w:cs="Arial"/>
                <w:iCs/>
                <w:color w:val="000000" w:themeColor="text1"/>
                <w:sz w:val="18"/>
              </w:rPr>
            </w:pPr>
            <w:r>
              <w:rPr>
                <w:rFonts w:cs="Arial"/>
                <w:iCs/>
                <w:color w:val="000000" w:themeColor="text1"/>
                <w:sz w:val="18"/>
              </w:rPr>
              <w:t>502</w:t>
            </w:r>
          </w:p>
        </w:tc>
      </w:tr>
      <w:tr w:rsidR="00BC729F" w:rsidRPr="00C75D9B" w:rsidTr="00073BDA">
        <w:trPr>
          <w:trHeight w:val="279"/>
        </w:trPr>
        <w:tc>
          <w:tcPr>
            <w:tcW w:w="1778" w:type="dxa"/>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Crna Gora</w:t>
            </w:r>
          </w:p>
        </w:tc>
        <w:tc>
          <w:tcPr>
            <w:tcW w:w="1118" w:type="dxa"/>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8</w:t>
            </w:r>
            <w:r w:rsidR="006B71DC">
              <w:rPr>
                <w:rFonts w:cs="Arial"/>
                <w:iCs/>
                <w:color w:val="000000" w:themeColor="text1"/>
                <w:sz w:val="18"/>
              </w:rPr>
              <w:t>.</w:t>
            </w:r>
            <w:r w:rsidRPr="00C75D9B">
              <w:rPr>
                <w:rFonts w:cs="Arial"/>
                <w:iCs/>
                <w:color w:val="000000" w:themeColor="text1"/>
                <w:sz w:val="18"/>
              </w:rPr>
              <w:t>222</w:t>
            </w:r>
          </w:p>
        </w:tc>
        <w:tc>
          <w:tcPr>
            <w:tcW w:w="1007" w:type="dxa"/>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4</w:t>
            </w:r>
            <w:r w:rsidR="006B71DC">
              <w:rPr>
                <w:rFonts w:cs="Arial"/>
                <w:iCs/>
                <w:color w:val="000000" w:themeColor="text1"/>
                <w:sz w:val="18"/>
              </w:rPr>
              <w:t>.</w:t>
            </w:r>
            <w:r w:rsidRPr="00C75D9B">
              <w:rPr>
                <w:rFonts w:cs="Arial"/>
                <w:iCs/>
                <w:color w:val="000000" w:themeColor="text1"/>
                <w:sz w:val="18"/>
              </w:rPr>
              <w:t>477</w:t>
            </w:r>
          </w:p>
        </w:tc>
        <w:tc>
          <w:tcPr>
            <w:tcW w:w="1062" w:type="dxa"/>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11</w:t>
            </w:r>
            <w:r w:rsidR="006B71DC">
              <w:rPr>
                <w:rFonts w:cs="Arial"/>
                <w:iCs/>
                <w:color w:val="000000" w:themeColor="text1"/>
                <w:sz w:val="18"/>
              </w:rPr>
              <w:t>.</w:t>
            </w:r>
            <w:r w:rsidRPr="00C75D9B">
              <w:rPr>
                <w:rFonts w:cs="Arial"/>
                <w:iCs/>
                <w:color w:val="000000" w:themeColor="text1"/>
                <w:sz w:val="18"/>
              </w:rPr>
              <w:t>163</w:t>
            </w:r>
          </w:p>
        </w:tc>
        <w:tc>
          <w:tcPr>
            <w:tcW w:w="1130" w:type="dxa"/>
            <w:hideMark/>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6</w:t>
            </w:r>
            <w:r w:rsidR="006B71DC">
              <w:rPr>
                <w:rFonts w:cs="Arial"/>
                <w:iCs/>
                <w:color w:val="000000" w:themeColor="text1"/>
                <w:sz w:val="18"/>
              </w:rPr>
              <w:t>.</w:t>
            </w:r>
            <w:r w:rsidRPr="00C75D9B">
              <w:rPr>
                <w:rFonts w:cs="Arial"/>
                <w:iCs/>
                <w:color w:val="000000" w:themeColor="text1"/>
                <w:sz w:val="18"/>
              </w:rPr>
              <w:t>720</w:t>
            </w:r>
          </w:p>
        </w:tc>
        <w:tc>
          <w:tcPr>
            <w:tcW w:w="1118" w:type="dxa"/>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11</w:t>
            </w:r>
            <w:r w:rsidR="006B71DC">
              <w:rPr>
                <w:rFonts w:cs="Arial"/>
                <w:iCs/>
                <w:color w:val="000000" w:themeColor="text1"/>
                <w:sz w:val="18"/>
              </w:rPr>
              <w:t>.</w:t>
            </w:r>
            <w:r w:rsidRPr="00C75D9B">
              <w:rPr>
                <w:rFonts w:cs="Arial"/>
                <w:iCs/>
                <w:color w:val="000000" w:themeColor="text1"/>
                <w:sz w:val="18"/>
              </w:rPr>
              <w:t>067</w:t>
            </w:r>
          </w:p>
        </w:tc>
        <w:tc>
          <w:tcPr>
            <w:tcW w:w="1155" w:type="dxa"/>
          </w:tcPr>
          <w:p w:rsidR="00BC729F" w:rsidRPr="00C75D9B" w:rsidRDefault="00BC729F" w:rsidP="005526BB">
            <w:pPr>
              <w:jc w:val="center"/>
              <w:rPr>
                <w:rFonts w:cs="Arial"/>
                <w:iCs/>
                <w:color w:val="000000" w:themeColor="text1"/>
                <w:sz w:val="18"/>
              </w:rPr>
            </w:pPr>
            <w:r w:rsidRPr="00C75D9B">
              <w:rPr>
                <w:rFonts w:cs="Arial"/>
                <w:iCs/>
                <w:color w:val="000000" w:themeColor="text1"/>
                <w:sz w:val="18"/>
              </w:rPr>
              <w:t>6</w:t>
            </w:r>
            <w:r w:rsidR="006B71DC">
              <w:rPr>
                <w:rFonts w:cs="Arial"/>
                <w:iCs/>
                <w:color w:val="000000" w:themeColor="text1"/>
                <w:sz w:val="18"/>
              </w:rPr>
              <w:t>.</w:t>
            </w:r>
            <w:r w:rsidRPr="00C75D9B">
              <w:rPr>
                <w:rFonts w:cs="Arial"/>
                <w:iCs/>
                <w:color w:val="000000" w:themeColor="text1"/>
                <w:sz w:val="18"/>
              </w:rPr>
              <w:t>696</w:t>
            </w:r>
          </w:p>
        </w:tc>
      </w:tr>
    </w:tbl>
    <w:p w:rsidR="00804694" w:rsidRPr="003E247B" w:rsidRDefault="00BC729F" w:rsidP="005526BB">
      <w:pPr>
        <w:jc w:val="right"/>
        <w:rPr>
          <w:rFonts w:cs="Arial"/>
          <w:i/>
          <w:iCs/>
          <w:color w:val="000000" w:themeColor="text1"/>
          <w:sz w:val="18"/>
        </w:rPr>
      </w:pPr>
      <w:r w:rsidRPr="003E247B">
        <w:rPr>
          <w:i/>
          <w:iCs/>
          <w:color w:val="000000" w:themeColor="text1"/>
          <w:sz w:val="18"/>
        </w:rPr>
        <w:t>Izvor: Zavod za zapošljavanje Crne Gore, Izvještaji o radu 2018-2020.</w:t>
      </w:r>
    </w:p>
    <w:p w:rsidR="00C56969" w:rsidRDefault="00C56969" w:rsidP="005526BB">
      <w:pPr>
        <w:jc w:val="both"/>
        <w:rPr>
          <w:rFonts w:cs="Arial"/>
          <w:iCs/>
          <w:color w:val="000000" w:themeColor="text1"/>
          <w:sz w:val="22"/>
          <w:szCs w:val="22"/>
        </w:rPr>
      </w:pPr>
    </w:p>
    <w:p w:rsidR="00FA1563" w:rsidRDefault="00FA1563" w:rsidP="005526BB">
      <w:pPr>
        <w:jc w:val="both"/>
        <w:rPr>
          <w:rFonts w:cs="Arial"/>
          <w:iCs/>
          <w:color w:val="000000" w:themeColor="text1"/>
          <w:sz w:val="22"/>
          <w:szCs w:val="22"/>
        </w:rPr>
      </w:pPr>
      <w:r>
        <w:rPr>
          <w:rFonts w:cs="Arial"/>
          <w:iCs/>
          <w:color w:val="000000" w:themeColor="text1"/>
          <w:sz w:val="22"/>
          <w:szCs w:val="22"/>
        </w:rPr>
        <w:t>Tri četvrtine ukupnog broja nezaposlenih lica sa invaliditetom koji se nalaze na evidenciji nezaposlenih su stariji od 40 godina, dok je više od polovine (51,9%) ukupnog broja starije od 50 godina (učešće žena u ovoj kategoriji nezaposlenih je blizu 56%). Takva struktura nezaposlenih ukazuje na potrebu rješavanja slabosti lokalnog tržišt</w:t>
      </w:r>
      <w:r w:rsidR="00B15997">
        <w:rPr>
          <w:rFonts w:cs="Arial"/>
          <w:iCs/>
          <w:color w:val="000000" w:themeColor="text1"/>
          <w:sz w:val="22"/>
          <w:szCs w:val="22"/>
        </w:rPr>
        <w:t>a</w:t>
      </w:r>
      <w:r>
        <w:rPr>
          <w:rFonts w:cs="Arial"/>
          <w:iCs/>
          <w:color w:val="000000" w:themeColor="text1"/>
          <w:sz w:val="22"/>
          <w:szCs w:val="22"/>
        </w:rPr>
        <w:t xml:space="preserve"> rada. </w:t>
      </w:r>
    </w:p>
    <w:p w:rsidR="00FA1563" w:rsidRDefault="00FA1563" w:rsidP="005526BB">
      <w:pPr>
        <w:jc w:val="both"/>
        <w:rPr>
          <w:rFonts w:cs="Arial"/>
          <w:iCs/>
          <w:color w:val="000000" w:themeColor="text1"/>
          <w:sz w:val="22"/>
          <w:szCs w:val="22"/>
        </w:rPr>
      </w:pPr>
    </w:p>
    <w:p w:rsidR="009B4F22" w:rsidRPr="009B4F22" w:rsidRDefault="0045461F" w:rsidP="005526BB">
      <w:pPr>
        <w:pStyle w:val="Heading2"/>
        <w:spacing w:before="0"/>
      </w:pPr>
      <w:bookmarkStart w:id="48" w:name="_Toc44873764"/>
      <w:bookmarkStart w:id="49" w:name="_Toc52644730"/>
      <w:bookmarkStart w:id="50" w:name="_Toc58581875"/>
      <w:bookmarkStart w:id="51" w:name="_Toc61289782"/>
      <w:bookmarkStart w:id="52" w:name="_Toc63099497"/>
      <w:r w:rsidRPr="00535116">
        <w:t>3.</w:t>
      </w:r>
      <w:r w:rsidR="00BC319B" w:rsidRPr="00535116">
        <w:t>3</w:t>
      </w:r>
      <w:r w:rsidRPr="00535116">
        <w:t xml:space="preserve"> Programi i m</w:t>
      </w:r>
      <w:r w:rsidR="00164B39" w:rsidRPr="00535116">
        <w:t xml:space="preserve">jere </w:t>
      </w:r>
      <w:r w:rsidRPr="00535116">
        <w:t>Zavoda za zapošljavanje</w:t>
      </w:r>
      <w:bookmarkEnd w:id="48"/>
      <w:bookmarkEnd w:id="49"/>
      <w:r w:rsidR="00123A85" w:rsidRPr="0068781C">
        <w:rPr>
          <w:b w:val="0"/>
          <w:bCs/>
          <w:color w:val="auto"/>
          <w:sz w:val="20"/>
          <w:szCs w:val="20"/>
          <w:vertAlign w:val="superscript"/>
        </w:rPr>
        <w:footnoteReference w:id="12"/>
      </w:r>
      <w:bookmarkEnd w:id="50"/>
      <w:bookmarkEnd w:id="51"/>
      <w:bookmarkEnd w:id="52"/>
    </w:p>
    <w:p w:rsidR="009B4F22" w:rsidRDefault="009B4F22" w:rsidP="005526BB">
      <w:pPr>
        <w:rPr>
          <w:highlight w:val="yellow"/>
        </w:rPr>
      </w:pPr>
    </w:p>
    <w:p w:rsidR="00FA1563" w:rsidRDefault="00FA1563" w:rsidP="005526BB">
      <w:pPr>
        <w:jc w:val="both"/>
        <w:rPr>
          <w:rFonts w:cs="Arial"/>
          <w:iCs/>
          <w:color w:val="000000" w:themeColor="text1"/>
          <w:sz w:val="22"/>
          <w:szCs w:val="22"/>
        </w:rPr>
      </w:pPr>
      <w:r>
        <w:rPr>
          <w:rFonts w:cs="Arial"/>
          <w:iCs/>
          <w:color w:val="000000" w:themeColor="text1"/>
          <w:sz w:val="22"/>
          <w:szCs w:val="22"/>
        </w:rPr>
        <w:t xml:space="preserve">U cilju smanjenja broja nezaposlenih </w:t>
      </w:r>
      <w:r w:rsidR="001F0283">
        <w:rPr>
          <w:rFonts w:cs="Arial"/>
          <w:iCs/>
          <w:color w:val="000000" w:themeColor="text1"/>
          <w:sz w:val="22"/>
          <w:szCs w:val="22"/>
        </w:rPr>
        <w:t>Zavod za zapošljavanje sprovodi niz politika i programa. Politike koje se u tom domenu sprovode se odnose na stručni tretman nezaposlenih, aktivne mjere zapošljav</w:t>
      </w:r>
      <w:r w:rsidR="00B558BB">
        <w:rPr>
          <w:rFonts w:cs="Arial"/>
          <w:iCs/>
          <w:color w:val="000000" w:themeColor="text1"/>
          <w:sz w:val="22"/>
          <w:szCs w:val="22"/>
        </w:rPr>
        <w:t>a</w:t>
      </w:r>
      <w:r w:rsidR="001F0283">
        <w:rPr>
          <w:rFonts w:cs="Arial"/>
          <w:iCs/>
          <w:color w:val="000000" w:themeColor="text1"/>
          <w:sz w:val="22"/>
          <w:szCs w:val="22"/>
        </w:rPr>
        <w:t xml:space="preserve">nja, profesionalnu rehabilitaciju lica sa invaliditetom, stručno osposobljavanje lica sa stečenim visokim obrazovanjem i drugo. </w:t>
      </w:r>
      <w:bookmarkStart w:id="53" w:name="_Toc52951744"/>
    </w:p>
    <w:p w:rsidR="00FA1563" w:rsidRDefault="00FA1563" w:rsidP="005526BB">
      <w:pPr>
        <w:jc w:val="both"/>
        <w:rPr>
          <w:rFonts w:cs="Arial"/>
          <w:iCs/>
          <w:color w:val="000000" w:themeColor="text1"/>
          <w:sz w:val="22"/>
          <w:szCs w:val="22"/>
        </w:rPr>
      </w:pPr>
    </w:p>
    <w:p w:rsidR="009B4F22" w:rsidRPr="00FC2D96" w:rsidRDefault="00EC2702" w:rsidP="007909E6">
      <w:pPr>
        <w:pStyle w:val="Heading3"/>
      </w:pPr>
      <w:r w:rsidRPr="00FC2D96">
        <w:t xml:space="preserve">3.3.1 </w:t>
      </w:r>
      <w:r w:rsidR="0045461F" w:rsidRPr="00FC2D96">
        <w:t>Stručni tretman nezaposlenih lica</w:t>
      </w:r>
      <w:bookmarkEnd w:id="53"/>
    </w:p>
    <w:p w:rsidR="00CA1329" w:rsidRPr="005526BB" w:rsidRDefault="00CA1329" w:rsidP="005526BB">
      <w:pPr>
        <w:jc w:val="both"/>
        <w:rPr>
          <w:rFonts w:cs="Arial"/>
          <w:sz w:val="22"/>
          <w:szCs w:val="22"/>
        </w:rPr>
      </w:pPr>
    </w:p>
    <w:p w:rsidR="001F0283" w:rsidRPr="00C75D9B" w:rsidRDefault="00CC1972" w:rsidP="005526BB">
      <w:pPr>
        <w:jc w:val="both"/>
        <w:rPr>
          <w:rFonts w:cs="Arial"/>
          <w:sz w:val="22"/>
          <w:szCs w:val="22"/>
        </w:rPr>
      </w:pPr>
      <w:r>
        <w:rPr>
          <w:rFonts w:cs="Arial"/>
          <w:sz w:val="22"/>
          <w:szCs w:val="22"/>
        </w:rPr>
        <w:t>Zavod za zapošljavanje</w:t>
      </w:r>
      <w:r w:rsidR="001F0283">
        <w:rPr>
          <w:rFonts w:cs="Arial"/>
          <w:sz w:val="22"/>
          <w:szCs w:val="22"/>
        </w:rPr>
        <w:t xml:space="preserve"> v</w:t>
      </w:r>
      <w:r w:rsidR="001F0283" w:rsidRPr="00C75D9B">
        <w:rPr>
          <w:rFonts w:cs="Arial"/>
          <w:sz w:val="22"/>
          <w:szCs w:val="22"/>
        </w:rPr>
        <w:t>odi informativne razgovore i individualne intervjue</w:t>
      </w:r>
      <w:r w:rsidR="001F0283">
        <w:rPr>
          <w:rFonts w:cs="Arial"/>
          <w:sz w:val="22"/>
          <w:szCs w:val="22"/>
        </w:rPr>
        <w:t xml:space="preserve">, </w:t>
      </w:r>
      <w:r w:rsidR="001F0283" w:rsidRPr="00C75D9B">
        <w:rPr>
          <w:rFonts w:cs="Arial"/>
          <w:sz w:val="22"/>
          <w:szCs w:val="22"/>
        </w:rPr>
        <w:t>organizuje informativno-motivacione seminare i priprema individualne planove zapošljavanja</w:t>
      </w:r>
      <w:r w:rsidR="001F0283">
        <w:rPr>
          <w:rFonts w:cs="Arial"/>
          <w:sz w:val="22"/>
          <w:szCs w:val="22"/>
        </w:rPr>
        <w:t xml:space="preserve"> za nezaposlena lica u cilju njihovog efikasnijeg uključivanja na tržište rada.</w:t>
      </w:r>
    </w:p>
    <w:p w:rsidR="00017100" w:rsidRPr="006A529A" w:rsidRDefault="001F0283" w:rsidP="005526BB">
      <w:pPr>
        <w:jc w:val="both"/>
        <w:rPr>
          <w:rFonts w:cs="Arial"/>
          <w:color w:val="000000" w:themeColor="text1"/>
          <w:sz w:val="22"/>
          <w:szCs w:val="22"/>
        </w:rPr>
      </w:pPr>
      <w:r w:rsidRPr="00C75D9B">
        <w:rPr>
          <w:rFonts w:cs="Arial"/>
          <w:color w:val="000000" w:themeColor="text1"/>
          <w:sz w:val="22"/>
          <w:szCs w:val="22"/>
        </w:rPr>
        <w:lastRenderedPageBreak/>
        <w:t xml:space="preserve">Tokom </w:t>
      </w:r>
      <w:r>
        <w:rPr>
          <w:rFonts w:cs="Arial"/>
          <w:color w:val="000000" w:themeColor="text1"/>
          <w:sz w:val="22"/>
          <w:szCs w:val="22"/>
        </w:rPr>
        <w:t>2019. godine je sproveden</w:t>
      </w:r>
      <w:r w:rsidR="000164B4">
        <w:rPr>
          <w:rFonts w:cs="Arial"/>
          <w:color w:val="000000" w:themeColor="text1"/>
          <w:sz w:val="22"/>
          <w:szCs w:val="22"/>
        </w:rPr>
        <w:t>o</w:t>
      </w:r>
      <w:r>
        <w:rPr>
          <w:rFonts w:cs="Arial"/>
          <w:color w:val="000000" w:themeColor="text1"/>
          <w:sz w:val="22"/>
          <w:szCs w:val="22"/>
        </w:rPr>
        <w:t xml:space="preserve"> </w:t>
      </w:r>
      <w:r w:rsidR="00017100">
        <w:rPr>
          <w:rFonts w:cs="Arial"/>
          <w:color w:val="000000" w:themeColor="text1"/>
          <w:sz w:val="22"/>
          <w:szCs w:val="22"/>
        </w:rPr>
        <w:t>7</w:t>
      </w:r>
      <w:r w:rsidR="009C6904">
        <w:rPr>
          <w:rFonts w:cs="Arial"/>
          <w:color w:val="000000" w:themeColor="text1"/>
          <w:sz w:val="22"/>
          <w:szCs w:val="22"/>
        </w:rPr>
        <w:t>.</w:t>
      </w:r>
      <w:r w:rsidR="00017100">
        <w:rPr>
          <w:rFonts w:cs="Arial"/>
          <w:color w:val="000000" w:themeColor="text1"/>
          <w:sz w:val="22"/>
          <w:szCs w:val="22"/>
        </w:rPr>
        <w:t>565</w:t>
      </w:r>
      <w:r w:rsidRPr="00C75D9B">
        <w:rPr>
          <w:rFonts w:cs="Arial"/>
          <w:color w:val="000000" w:themeColor="text1"/>
          <w:sz w:val="22"/>
          <w:szCs w:val="22"/>
        </w:rPr>
        <w:t xml:space="preserve"> intervju</w:t>
      </w:r>
      <w:r w:rsidR="00CE3625">
        <w:rPr>
          <w:rFonts w:cs="Arial"/>
          <w:color w:val="000000" w:themeColor="text1"/>
          <w:sz w:val="22"/>
          <w:szCs w:val="22"/>
        </w:rPr>
        <w:t>a</w:t>
      </w:r>
      <w:r w:rsidRPr="00C75D9B">
        <w:rPr>
          <w:rFonts w:cs="Arial"/>
          <w:color w:val="000000" w:themeColor="text1"/>
          <w:sz w:val="22"/>
          <w:szCs w:val="22"/>
        </w:rPr>
        <w:t xml:space="preserve"> sa nezaposlenim licima i </w:t>
      </w:r>
      <w:r w:rsidR="00017100">
        <w:rPr>
          <w:rFonts w:cs="Arial"/>
          <w:color w:val="000000" w:themeColor="text1"/>
          <w:sz w:val="22"/>
          <w:szCs w:val="22"/>
        </w:rPr>
        <w:t>113</w:t>
      </w:r>
      <w:r w:rsidRPr="00C75D9B">
        <w:rPr>
          <w:rFonts w:cs="Arial"/>
          <w:color w:val="000000" w:themeColor="text1"/>
          <w:sz w:val="22"/>
          <w:szCs w:val="22"/>
        </w:rPr>
        <w:t xml:space="preserve"> inform</w:t>
      </w:r>
      <w:r w:rsidR="000B0C84" w:rsidRPr="00C75D9B">
        <w:rPr>
          <w:rFonts w:cs="Arial"/>
          <w:color w:val="000000" w:themeColor="text1"/>
          <w:sz w:val="22"/>
          <w:szCs w:val="22"/>
        </w:rPr>
        <w:t>a</w:t>
      </w:r>
      <w:r w:rsidRPr="00C75D9B">
        <w:rPr>
          <w:rFonts w:cs="Arial"/>
          <w:color w:val="000000" w:themeColor="text1"/>
          <w:sz w:val="22"/>
          <w:szCs w:val="22"/>
        </w:rPr>
        <w:t xml:space="preserve">tivnih razgovora. </w:t>
      </w:r>
      <w:r w:rsidR="00017100" w:rsidRPr="006A529A">
        <w:rPr>
          <w:rFonts w:cs="Arial"/>
          <w:color w:val="000000" w:themeColor="text1"/>
          <w:sz w:val="22"/>
          <w:szCs w:val="22"/>
        </w:rPr>
        <w:t>Takođe,</w:t>
      </w:r>
      <w:r w:rsidR="00017100">
        <w:rPr>
          <w:rFonts w:cs="Arial"/>
          <w:color w:val="000000" w:themeColor="text1"/>
          <w:sz w:val="22"/>
          <w:szCs w:val="22"/>
        </w:rPr>
        <w:t xml:space="preserve"> </w:t>
      </w:r>
      <w:r w:rsidR="00017100" w:rsidRPr="006A529A">
        <w:rPr>
          <w:rFonts w:cs="Arial"/>
          <w:color w:val="000000" w:themeColor="text1"/>
          <w:sz w:val="22"/>
          <w:szCs w:val="22"/>
        </w:rPr>
        <w:t>prema Zakonu o posredovanju pri zapošljavanju i pravima za vrijeme nezaposlenosti</w:t>
      </w:r>
      <w:r w:rsidR="00017100" w:rsidRPr="006A529A">
        <w:rPr>
          <w:rStyle w:val="FootnoteReference"/>
          <w:rFonts w:cs="Arial"/>
          <w:color w:val="000000" w:themeColor="text1"/>
          <w:sz w:val="22"/>
          <w:szCs w:val="22"/>
        </w:rPr>
        <w:footnoteReference w:id="13"/>
      </w:r>
      <w:r w:rsidR="00017100" w:rsidRPr="006A529A">
        <w:rPr>
          <w:rFonts w:cs="Arial"/>
          <w:color w:val="000000" w:themeColor="text1"/>
          <w:sz w:val="22"/>
          <w:szCs w:val="22"/>
        </w:rPr>
        <w:t xml:space="preserve"> pripremaju se i realizuju pl</w:t>
      </w:r>
      <w:r w:rsidR="00301976">
        <w:rPr>
          <w:rFonts w:cs="Arial"/>
          <w:color w:val="000000" w:themeColor="text1"/>
          <w:sz w:val="22"/>
          <w:szCs w:val="22"/>
        </w:rPr>
        <w:t>anovi zapošljavanja, tako d</w:t>
      </w:r>
      <w:r w:rsidR="00B25673">
        <w:rPr>
          <w:rFonts w:cs="Arial"/>
          <w:color w:val="000000" w:themeColor="text1"/>
          <w:sz w:val="22"/>
          <w:szCs w:val="22"/>
        </w:rPr>
        <w:t>a</w:t>
      </w:r>
      <w:r w:rsidR="00301976">
        <w:rPr>
          <w:rFonts w:cs="Arial"/>
          <w:color w:val="000000" w:themeColor="text1"/>
          <w:sz w:val="22"/>
          <w:szCs w:val="22"/>
        </w:rPr>
        <w:t xml:space="preserve"> su </w:t>
      </w:r>
      <w:r w:rsidR="00017100" w:rsidRPr="006A529A">
        <w:rPr>
          <w:rFonts w:cs="Arial"/>
          <w:color w:val="000000" w:themeColor="text1"/>
          <w:sz w:val="22"/>
          <w:szCs w:val="22"/>
        </w:rPr>
        <w:t>biro</w:t>
      </w:r>
      <w:r w:rsidR="00301976">
        <w:rPr>
          <w:rFonts w:cs="Arial"/>
          <w:color w:val="000000" w:themeColor="text1"/>
          <w:sz w:val="22"/>
          <w:szCs w:val="22"/>
        </w:rPr>
        <w:t>i</w:t>
      </w:r>
      <w:r w:rsidR="00017100">
        <w:rPr>
          <w:rFonts w:cs="Arial"/>
          <w:color w:val="000000" w:themeColor="text1"/>
          <w:sz w:val="22"/>
          <w:szCs w:val="22"/>
        </w:rPr>
        <w:t xml:space="preserve"> rada Podgorica</w:t>
      </w:r>
      <w:r w:rsidR="00017100" w:rsidRPr="006A529A">
        <w:rPr>
          <w:rFonts w:cs="Arial"/>
          <w:color w:val="000000" w:themeColor="text1"/>
          <w:sz w:val="22"/>
          <w:szCs w:val="22"/>
        </w:rPr>
        <w:t xml:space="preserve"> </w:t>
      </w:r>
      <w:r w:rsidR="00301976">
        <w:rPr>
          <w:rFonts w:cs="Arial"/>
          <w:color w:val="000000" w:themeColor="text1"/>
          <w:sz w:val="22"/>
          <w:szCs w:val="22"/>
        </w:rPr>
        <w:t>i Golubovci izradili</w:t>
      </w:r>
      <w:r w:rsidR="00017100" w:rsidRPr="006A529A">
        <w:rPr>
          <w:rFonts w:cs="Arial"/>
          <w:color w:val="000000" w:themeColor="text1"/>
          <w:sz w:val="22"/>
          <w:szCs w:val="22"/>
        </w:rPr>
        <w:t xml:space="preserve"> </w:t>
      </w:r>
      <w:r w:rsidR="00017100">
        <w:rPr>
          <w:rFonts w:cs="Arial"/>
          <w:color w:val="000000" w:themeColor="text1"/>
          <w:sz w:val="22"/>
          <w:szCs w:val="22"/>
        </w:rPr>
        <w:t>54.120</w:t>
      </w:r>
      <w:r w:rsidR="00301976">
        <w:rPr>
          <w:rFonts w:cs="Arial"/>
          <w:color w:val="000000" w:themeColor="text1"/>
          <w:sz w:val="22"/>
          <w:szCs w:val="22"/>
        </w:rPr>
        <w:t xml:space="preserve"> planova</w:t>
      </w:r>
      <w:r w:rsidR="00017100" w:rsidRPr="006A529A">
        <w:rPr>
          <w:rFonts w:cs="Arial"/>
          <w:color w:val="000000" w:themeColor="text1"/>
          <w:sz w:val="22"/>
          <w:szCs w:val="22"/>
        </w:rPr>
        <w:t xml:space="preserve"> zapošljavanja za ne</w:t>
      </w:r>
      <w:r w:rsidR="00301976">
        <w:rPr>
          <w:rFonts w:cs="Arial"/>
          <w:color w:val="000000" w:themeColor="text1"/>
          <w:sz w:val="22"/>
          <w:szCs w:val="22"/>
        </w:rPr>
        <w:t>zaposlena lica i realizovali</w:t>
      </w:r>
      <w:r w:rsidR="00017100">
        <w:rPr>
          <w:rFonts w:cs="Arial"/>
          <w:color w:val="000000" w:themeColor="text1"/>
          <w:sz w:val="22"/>
          <w:szCs w:val="22"/>
        </w:rPr>
        <w:t xml:space="preserve"> 641 </w:t>
      </w:r>
      <w:r w:rsidR="00301976">
        <w:rPr>
          <w:rFonts w:cs="Arial"/>
          <w:color w:val="000000" w:themeColor="text1"/>
          <w:sz w:val="22"/>
          <w:szCs w:val="22"/>
        </w:rPr>
        <w:t>plan</w:t>
      </w:r>
      <w:r w:rsidR="00017100" w:rsidRPr="006A529A">
        <w:rPr>
          <w:rFonts w:cs="Arial"/>
          <w:color w:val="000000" w:themeColor="text1"/>
          <w:sz w:val="22"/>
          <w:szCs w:val="22"/>
        </w:rPr>
        <w:t>. U skladu sa Zakonom o posredovanju pri zapošljavanju i pravima za vrijeme nezaposlenosti</w:t>
      </w:r>
      <w:r w:rsidR="00017100" w:rsidRPr="006A529A">
        <w:rPr>
          <w:rStyle w:val="FootnoteReference"/>
          <w:rFonts w:cs="Arial"/>
          <w:color w:val="000000" w:themeColor="text1"/>
          <w:sz w:val="22"/>
          <w:szCs w:val="22"/>
        </w:rPr>
        <w:footnoteReference w:id="14"/>
      </w:r>
      <w:r w:rsidR="00017100" w:rsidRPr="006A529A">
        <w:rPr>
          <w:rFonts w:cs="Arial"/>
          <w:color w:val="000000" w:themeColor="text1"/>
          <w:sz w:val="22"/>
          <w:szCs w:val="22"/>
        </w:rPr>
        <w:t xml:space="preserve"> utvrđuje se individualni plan zapošljavanja sa nezaposlenim licem u roku od 45 dana nakon prijave u evidenciju ZZZCG radi pripreme za zapošljavanje i aktivnog traženja zaposlenja.</w:t>
      </w:r>
      <w:r w:rsidR="00A93CDE">
        <w:rPr>
          <w:rFonts w:cs="Arial"/>
          <w:color w:val="000000" w:themeColor="text1"/>
          <w:sz w:val="22"/>
          <w:szCs w:val="22"/>
        </w:rPr>
        <w:t xml:space="preserve"> </w:t>
      </w:r>
      <w:r w:rsidR="00017100" w:rsidRPr="006A529A">
        <w:rPr>
          <w:rFonts w:cs="Arial"/>
          <w:color w:val="000000" w:themeColor="text1"/>
          <w:sz w:val="22"/>
          <w:szCs w:val="22"/>
        </w:rPr>
        <w:t>Dodatno, tokom 2019. je u informaciono-motivacioni seminar bilo uklju</w:t>
      </w:r>
      <w:r w:rsidR="00017100">
        <w:rPr>
          <w:rFonts w:cs="Arial"/>
          <w:color w:val="000000" w:themeColor="text1"/>
          <w:sz w:val="22"/>
          <w:szCs w:val="22"/>
        </w:rPr>
        <w:t>čeno 566</w:t>
      </w:r>
      <w:r w:rsidR="00017100" w:rsidRPr="006A529A">
        <w:rPr>
          <w:rFonts w:cs="Arial"/>
          <w:color w:val="000000" w:themeColor="text1"/>
          <w:sz w:val="22"/>
          <w:szCs w:val="22"/>
        </w:rPr>
        <w:t xml:space="preserve"> nezaposlenih lica. </w:t>
      </w:r>
    </w:p>
    <w:p w:rsidR="00EC2702" w:rsidRDefault="00EC2702" w:rsidP="005526BB">
      <w:pPr>
        <w:rPr>
          <w:rFonts w:cs="Arial"/>
          <w:i/>
          <w:iCs/>
          <w:color w:val="000000" w:themeColor="text1"/>
          <w:sz w:val="22"/>
          <w:szCs w:val="22"/>
        </w:rPr>
      </w:pPr>
    </w:p>
    <w:p w:rsidR="0045461F" w:rsidRPr="007909E6" w:rsidRDefault="00EC2702" w:rsidP="005526BB">
      <w:pPr>
        <w:pStyle w:val="Heading3"/>
        <w:spacing w:before="0"/>
      </w:pPr>
      <w:r w:rsidRPr="007909E6">
        <w:t xml:space="preserve">3.3.2 </w:t>
      </w:r>
      <w:r w:rsidR="00593EFC" w:rsidRPr="007909E6">
        <w:t>Aktivne</w:t>
      </w:r>
      <w:r w:rsidR="00D00340" w:rsidRPr="007909E6">
        <w:t xml:space="preserve"> mjere </w:t>
      </w:r>
      <w:r w:rsidR="00593EFC" w:rsidRPr="007909E6">
        <w:t xml:space="preserve">zapošljavanja </w:t>
      </w:r>
      <w:r w:rsidR="00D00340" w:rsidRPr="007909E6">
        <w:t xml:space="preserve"> </w:t>
      </w:r>
    </w:p>
    <w:p w:rsidR="00CA1329" w:rsidRDefault="00CA1329" w:rsidP="005526BB">
      <w:pPr>
        <w:jc w:val="both"/>
        <w:rPr>
          <w:rFonts w:cs="Arial"/>
          <w:color w:val="000000" w:themeColor="text1"/>
          <w:szCs w:val="20"/>
        </w:rPr>
      </w:pPr>
    </w:p>
    <w:p w:rsidR="008A2F99" w:rsidRPr="004766D7" w:rsidRDefault="008A2F99" w:rsidP="008A2F99">
      <w:pPr>
        <w:jc w:val="both"/>
        <w:rPr>
          <w:rFonts w:cs="Arial"/>
          <w:color w:val="000000" w:themeColor="text1"/>
          <w:sz w:val="22"/>
          <w:szCs w:val="22"/>
        </w:rPr>
      </w:pPr>
      <w:r>
        <w:rPr>
          <w:rFonts w:cs="Arial"/>
          <w:color w:val="000000" w:themeColor="text1"/>
          <w:sz w:val="22"/>
          <w:szCs w:val="22"/>
        </w:rPr>
        <w:t xml:space="preserve">Zavod za zapošljavanje Crne Gore </w:t>
      </w:r>
      <w:r w:rsidR="00591D9F">
        <w:rPr>
          <w:rFonts w:cs="Arial"/>
          <w:color w:val="000000" w:themeColor="text1"/>
          <w:sz w:val="22"/>
          <w:szCs w:val="22"/>
        </w:rPr>
        <w:t xml:space="preserve">organizuje za nezaposlena lica najviše </w:t>
      </w:r>
      <w:r>
        <w:rPr>
          <w:rFonts w:cs="Arial"/>
          <w:color w:val="000000" w:themeColor="text1"/>
          <w:sz w:val="22"/>
          <w:szCs w:val="22"/>
        </w:rPr>
        <w:t xml:space="preserve">sljedeće </w:t>
      </w:r>
      <w:r w:rsidRPr="004766D7">
        <w:rPr>
          <w:rFonts w:cs="Arial"/>
          <w:color w:val="000000" w:themeColor="text1"/>
          <w:sz w:val="22"/>
          <w:szCs w:val="22"/>
        </w:rPr>
        <w:t>mjere aktivne politike zapošljavanja</w:t>
      </w:r>
      <w:r w:rsidR="007175D4">
        <w:rPr>
          <w:rStyle w:val="FootnoteReference"/>
          <w:rFonts w:cs="Arial"/>
          <w:color w:val="000000" w:themeColor="text1"/>
          <w:sz w:val="22"/>
          <w:szCs w:val="22"/>
        </w:rPr>
        <w:footnoteReference w:id="15"/>
      </w:r>
      <w:r w:rsidRPr="004766D7">
        <w:rPr>
          <w:rFonts w:cs="Arial"/>
          <w:color w:val="000000" w:themeColor="text1"/>
          <w:sz w:val="22"/>
          <w:szCs w:val="22"/>
        </w:rPr>
        <w:t>:</w:t>
      </w:r>
    </w:p>
    <w:p w:rsidR="008A2F99" w:rsidRPr="004766D7" w:rsidRDefault="008A2F99" w:rsidP="008A2F99">
      <w:pPr>
        <w:jc w:val="both"/>
        <w:rPr>
          <w:rFonts w:cs="Arial"/>
          <w:color w:val="000000" w:themeColor="text1"/>
          <w:sz w:val="22"/>
          <w:szCs w:val="22"/>
        </w:rPr>
      </w:pPr>
    </w:p>
    <w:p w:rsidR="008A2F99" w:rsidRPr="00A52476" w:rsidRDefault="008A2F99" w:rsidP="008A2F99">
      <w:pPr>
        <w:pStyle w:val="ListParagraph"/>
        <w:numPr>
          <w:ilvl w:val="0"/>
          <w:numId w:val="42"/>
        </w:numPr>
        <w:jc w:val="both"/>
        <w:rPr>
          <w:rFonts w:cs="Arial"/>
          <w:i/>
          <w:iCs/>
          <w:color w:val="000000" w:themeColor="text1"/>
          <w:sz w:val="22"/>
          <w:szCs w:val="22"/>
        </w:rPr>
      </w:pPr>
      <w:r w:rsidRPr="00A52476">
        <w:rPr>
          <w:rFonts w:cs="Arial"/>
          <w:i/>
          <w:iCs/>
          <w:color w:val="000000" w:themeColor="text1"/>
          <w:sz w:val="22"/>
          <w:szCs w:val="22"/>
        </w:rPr>
        <w:t xml:space="preserve">Javni radovi </w:t>
      </w:r>
    </w:p>
    <w:p w:rsidR="008A2F99" w:rsidRPr="004766D7" w:rsidRDefault="008A2F99" w:rsidP="008A2F99">
      <w:pPr>
        <w:jc w:val="both"/>
        <w:rPr>
          <w:rFonts w:cs="Arial"/>
          <w:color w:val="000000" w:themeColor="text1"/>
          <w:sz w:val="22"/>
          <w:szCs w:val="22"/>
        </w:rPr>
      </w:pPr>
      <w:r w:rsidRPr="004766D7">
        <w:rPr>
          <w:sz w:val="22"/>
          <w:szCs w:val="22"/>
        </w:rPr>
        <w:t>Javni radovi se sprovode u saradnji sa ministarstvima, lokalnim upravama, javnim ustanovama, nevladinim sektorom, poslodavcima i drugim pravnim licima, kroz programe socijalne žaštite, ekološke, obrazovne, kulturne i druge slične programe utemeljene na društveno korisnom i neprofitabilnom radu koji na tržištu ne stvara nelojalnu konkurenciju.</w:t>
      </w:r>
    </w:p>
    <w:p w:rsidR="00591D9F" w:rsidRPr="00591D9F" w:rsidRDefault="00591D9F" w:rsidP="00591D9F">
      <w:pPr>
        <w:ind w:left="360"/>
        <w:jc w:val="both"/>
        <w:rPr>
          <w:i/>
          <w:iCs/>
          <w:sz w:val="22"/>
          <w:szCs w:val="22"/>
          <w:lang w:val="bs-Latn-BA"/>
        </w:rPr>
      </w:pPr>
    </w:p>
    <w:p w:rsidR="008A2F99" w:rsidRPr="00FE47F3" w:rsidRDefault="008A2F99" w:rsidP="008A2F99">
      <w:pPr>
        <w:pStyle w:val="ListParagraph"/>
        <w:numPr>
          <w:ilvl w:val="0"/>
          <w:numId w:val="42"/>
        </w:numPr>
        <w:jc w:val="both"/>
        <w:rPr>
          <w:i/>
          <w:iCs/>
          <w:sz w:val="22"/>
          <w:szCs w:val="22"/>
          <w:lang w:val="bs-Latn-BA"/>
        </w:rPr>
      </w:pPr>
      <w:r w:rsidRPr="00FE47F3">
        <w:rPr>
          <w:i/>
          <w:iCs/>
          <w:sz w:val="22"/>
          <w:szCs w:val="22"/>
          <w:lang w:val="bs-Latn-BA"/>
        </w:rPr>
        <w:t>Programi obrazovanja i osposobljavanja odraslih</w:t>
      </w:r>
    </w:p>
    <w:p w:rsidR="008A2F99" w:rsidRDefault="008A2F99" w:rsidP="008A2F99">
      <w:pPr>
        <w:jc w:val="both"/>
        <w:rPr>
          <w:sz w:val="22"/>
          <w:szCs w:val="22"/>
          <w:lang w:val="bs-Latn-BA"/>
        </w:rPr>
      </w:pPr>
      <w:r w:rsidRPr="004D3464">
        <w:rPr>
          <w:sz w:val="22"/>
          <w:szCs w:val="22"/>
          <w:lang w:val="bs-Latn-BA"/>
        </w:rPr>
        <w:t>Program</w:t>
      </w:r>
      <w:r>
        <w:rPr>
          <w:sz w:val="22"/>
          <w:szCs w:val="22"/>
          <w:lang w:val="bs-Latn-BA"/>
        </w:rPr>
        <w:t>e</w:t>
      </w:r>
      <w:r w:rsidRPr="004D3464">
        <w:rPr>
          <w:sz w:val="22"/>
          <w:szCs w:val="22"/>
          <w:lang w:val="bs-Latn-BA"/>
        </w:rPr>
        <w:t xml:space="preserve"> obrazovanja i osposobljavanja odraslih Zavod za zapošljavanje realizuje u saradnji sa organizatorima obrazovanja odraslih, kroz programe sticanja stručnih kvalifikacija i programe sticanja ključnih vještina. </w:t>
      </w:r>
    </w:p>
    <w:p w:rsidR="008A2F99" w:rsidRDefault="008A2F99" w:rsidP="008A2F99">
      <w:pPr>
        <w:jc w:val="both"/>
        <w:rPr>
          <w:sz w:val="22"/>
          <w:szCs w:val="22"/>
          <w:lang w:val="bs-Latn-BA"/>
        </w:rPr>
      </w:pPr>
    </w:p>
    <w:p w:rsidR="008A2F99" w:rsidRPr="004766D7" w:rsidRDefault="008A2F99" w:rsidP="008A2F99">
      <w:pPr>
        <w:pStyle w:val="ListParagraph"/>
        <w:numPr>
          <w:ilvl w:val="0"/>
          <w:numId w:val="42"/>
        </w:numPr>
        <w:jc w:val="both"/>
        <w:rPr>
          <w:i/>
          <w:iCs/>
          <w:sz w:val="22"/>
          <w:szCs w:val="22"/>
          <w:lang w:val="bs-Latn-BA"/>
        </w:rPr>
      </w:pPr>
      <w:r w:rsidRPr="004766D7">
        <w:rPr>
          <w:i/>
          <w:iCs/>
          <w:sz w:val="22"/>
          <w:szCs w:val="22"/>
          <w:lang w:val="bs-Latn-BA"/>
        </w:rPr>
        <w:t>Osposobljavanje na radnom mjestu</w:t>
      </w:r>
    </w:p>
    <w:p w:rsidR="008A2F99" w:rsidRPr="004D3464" w:rsidRDefault="008A2F99" w:rsidP="008A2F99">
      <w:pPr>
        <w:jc w:val="both"/>
        <w:rPr>
          <w:sz w:val="22"/>
          <w:szCs w:val="22"/>
          <w:lang w:val="bs-Latn-BA"/>
        </w:rPr>
      </w:pPr>
      <w:r>
        <w:rPr>
          <w:sz w:val="22"/>
          <w:szCs w:val="22"/>
          <w:lang w:val="bs-Latn-BA"/>
        </w:rPr>
        <w:t>Pr</w:t>
      </w:r>
      <w:r w:rsidRPr="004D3464">
        <w:rPr>
          <w:sz w:val="22"/>
          <w:szCs w:val="22"/>
          <w:lang w:val="bs-Latn-BA"/>
        </w:rPr>
        <w:t>ogram „Osposobljavanje za samostalan rad</w:t>
      </w:r>
      <w:r>
        <w:rPr>
          <w:sz w:val="22"/>
          <w:szCs w:val="22"/>
          <w:lang w:val="bs-Latn-BA"/>
        </w:rPr>
        <w:t>“</w:t>
      </w:r>
      <w:r w:rsidRPr="004D3464">
        <w:rPr>
          <w:sz w:val="22"/>
          <w:szCs w:val="22"/>
          <w:lang w:val="bs-Latn-BA"/>
        </w:rPr>
        <w:t xml:space="preserve"> </w:t>
      </w:r>
      <w:r>
        <w:rPr>
          <w:sz w:val="22"/>
          <w:szCs w:val="22"/>
          <w:lang w:val="bs-Latn-BA"/>
        </w:rPr>
        <w:t xml:space="preserve">sprovodi se </w:t>
      </w:r>
      <w:r w:rsidRPr="004D3464">
        <w:rPr>
          <w:sz w:val="22"/>
          <w:szCs w:val="22"/>
          <w:lang w:val="bs-Latn-BA"/>
        </w:rPr>
        <w:t>za nezaposlena lica sa stečenim srednjim obrazovanjem, bez radnog iskustva u nivou obrazovanja. Tokom uklju</w:t>
      </w:r>
      <w:r>
        <w:rPr>
          <w:sz w:val="22"/>
          <w:szCs w:val="22"/>
          <w:lang w:val="bs-Latn-BA"/>
        </w:rPr>
        <w:t>č</w:t>
      </w:r>
      <w:r w:rsidRPr="004D3464">
        <w:rPr>
          <w:sz w:val="22"/>
          <w:szCs w:val="22"/>
          <w:lang w:val="bs-Latn-BA"/>
        </w:rPr>
        <w:t xml:space="preserve">enja u program učesnik </w:t>
      </w:r>
      <w:r>
        <w:rPr>
          <w:sz w:val="22"/>
          <w:szCs w:val="22"/>
          <w:lang w:val="bs-Latn-BA"/>
        </w:rPr>
        <w:t xml:space="preserve">je </w:t>
      </w:r>
      <w:r w:rsidRPr="004D3464">
        <w:rPr>
          <w:sz w:val="22"/>
          <w:szCs w:val="22"/>
          <w:lang w:val="bs-Latn-BA"/>
        </w:rPr>
        <w:t xml:space="preserve">zaposlen </w:t>
      </w:r>
      <w:r>
        <w:rPr>
          <w:sz w:val="22"/>
          <w:szCs w:val="22"/>
          <w:lang w:val="bs-Latn-BA"/>
        </w:rPr>
        <w:t>n</w:t>
      </w:r>
      <w:r w:rsidRPr="004D3464">
        <w:rPr>
          <w:sz w:val="22"/>
          <w:szCs w:val="22"/>
          <w:lang w:val="bs-Latn-BA"/>
        </w:rPr>
        <w:t xml:space="preserve">a period do šest mjeseci. </w:t>
      </w:r>
    </w:p>
    <w:p w:rsidR="008A2F99" w:rsidRPr="004D3464" w:rsidRDefault="008A2F99" w:rsidP="008A2F99">
      <w:pPr>
        <w:jc w:val="both"/>
        <w:rPr>
          <w:sz w:val="22"/>
          <w:szCs w:val="22"/>
          <w:lang w:val="bs-Latn-BA"/>
        </w:rPr>
      </w:pPr>
    </w:p>
    <w:p w:rsidR="006A4215" w:rsidRDefault="008A2F99" w:rsidP="006A4215">
      <w:pPr>
        <w:jc w:val="both"/>
        <w:rPr>
          <w:sz w:val="22"/>
          <w:szCs w:val="22"/>
          <w:lang w:val="bs-Latn-BA"/>
        </w:rPr>
      </w:pPr>
      <w:r w:rsidRPr="004D3464">
        <w:rPr>
          <w:sz w:val="22"/>
          <w:szCs w:val="22"/>
          <w:lang w:val="bs-Latn-BA"/>
        </w:rPr>
        <w:t xml:space="preserve">Za nezaposlena lica sa nedostatkom praktičnih znanja i vještina organizuje se program „Osposobljavanje kod poslodavca“ u trajanju od tri mjeseca.  Učesnici </w:t>
      </w:r>
      <w:r>
        <w:rPr>
          <w:sz w:val="22"/>
          <w:szCs w:val="22"/>
          <w:lang w:val="bs-Latn-BA"/>
        </w:rPr>
        <w:t xml:space="preserve">se </w:t>
      </w:r>
      <w:r w:rsidRPr="004D3464">
        <w:rPr>
          <w:sz w:val="22"/>
          <w:szCs w:val="22"/>
          <w:lang w:val="bs-Latn-BA"/>
        </w:rPr>
        <w:t xml:space="preserve">osposobljavaju uz podršku mentora za samostalno obavljanje poslova određenih radnih mjesta, a tokom programa su takođe zaposleni. </w:t>
      </w:r>
    </w:p>
    <w:p w:rsidR="006A4215" w:rsidRDefault="006A4215" w:rsidP="006A4215">
      <w:pPr>
        <w:jc w:val="both"/>
        <w:rPr>
          <w:sz w:val="22"/>
          <w:szCs w:val="22"/>
          <w:lang w:val="bs-Latn-BA"/>
        </w:rPr>
      </w:pPr>
    </w:p>
    <w:p w:rsidR="008A2F99" w:rsidRDefault="008A2F99" w:rsidP="006A4215">
      <w:pPr>
        <w:pStyle w:val="ListParagraph"/>
        <w:numPr>
          <w:ilvl w:val="0"/>
          <w:numId w:val="43"/>
        </w:numPr>
        <w:jc w:val="both"/>
        <w:rPr>
          <w:i/>
          <w:iCs/>
          <w:sz w:val="22"/>
          <w:szCs w:val="22"/>
        </w:rPr>
      </w:pPr>
      <w:r w:rsidRPr="006A4215">
        <w:rPr>
          <w:i/>
          <w:iCs/>
          <w:sz w:val="22"/>
          <w:szCs w:val="22"/>
        </w:rPr>
        <w:t>Program “Stop sivoj ekonomiji”</w:t>
      </w:r>
    </w:p>
    <w:p w:rsidR="008A2F99" w:rsidRPr="00A52476" w:rsidRDefault="008A2F99" w:rsidP="008A2F99">
      <w:pPr>
        <w:jc w:val="both"/>
        <w:rPr>
          <w:sz w:val="22"/>
          <w:szCs w:val="22"/>
        </w:rPr>
      </w:pPr>
      <w:r w:rsidRPr="00A52476">
        <w:rPr>
          <w:sz w:val="22"/>
          <w:szCs w:val="22"/>
        </w:rPr>
        <w:t xml:space="preserve">Program “Stop sivoj ekonomiji” organizuje Zavod za zapošljavanje u saradnji sa Poreskom upravom, Upravom policije, Upravom za inspekcijske poslove i Upravom carina. Cilj programa je </w:t>
      </w:r>
      <w:r w:rsidRPr="00A52476">
        <w:rPr>
          <w:spacing w:val="-2"/>
          <w:sz w:val="22"/>
          <w:szCs w:val="22"/>
        </w:rPr>
        <w:t xml:space="preserve">podrška mladima </w:t>
      </w:r>
      <w:r w:rsidRPr="00A52476">
        <w:rPr>
          <w:sz w:val="22"/>
          <w:szCs w:val="22"/>
          <w:lang w:val="sr-Latn-CS"/>
        </w:rPr>
        <w:t>sa stečenim visokim obrazovanjem, do 30 godina života i sa radnim iskustvom u najkraćem trajanju od devet mjeseci</w:t>
      </w:r>
      <w:r w:rsidRPr="00A52476">
        <w:rPr>
          <w:spacing w:val="-2"/>
          <w:sz w:val="22"/>
          <w:szCs w:val="22"/>
        </w:rPr>
        <w:t xml:space="preserve"> u rješavanju problema nezaposlenosti </w:t>
      </w:r>
      <w:r w:rsidRPr="00A52476">
        <w:rPr>
          <w:sz w:val="22"/>
          <w:szCs w:val="22"/>
        </w:rPr>
        <w:t>podizanjem njihovih radnih kapaciteta, kao i podrška suzbijanju sive ekonomije na tržištu rada.</w:t>
      </w:r>
      <w:r>
        <w:rPr>
          <w:sz w:val="22"/>
          <w:szCs w:val="22"/>
        </w:rPr>
        <w:t xml:space="preserve"> </w:t>
      </w:r>
    </w:p>
    <w:p w:rsidR="008A2F99" w:rsidRPr="00222512" w:rsidRDefault="008A2F99" w:rsidP="008A2F99">
      <w:pPr>
        <w:pStyle w:val="BodyText3"/>
        <w:rPr>
          <w:sz w:val="16"/>
          <w:szCs w:val="16"/>
          <w:lang w:val="sr-Latn-CS"/>
        </w:rPr>
      </w:pPr>
    </w:p>
    <w:p w:rsidR="00593EFC" w:rsidRDefault="00593EFC" w:rsidP="005526BB">
      <w:pPr>
        <w:jc w:val="both"/>
        <w:rPr>
          <w:rFonts w:eastAsia="Cambria" w:cs="Arial"/>
          <w:color w:val="000000" w:themeColor="text1"/>
          <w:kern w:val="24"/>
          <w:szCs w:val="20"/>
        </w:rPr>
      </w:pPr>
      <w:r w:rsidRPr="009B4F22">
        <w:rPr>
          <w:rFonts w:cs="Arial"/>
          <w:color w:val="000000" w:themeColor="text1"/>
          <w:szCs w:val="20"/>
        </w:rPr>
        <w:t>Tabela</w:t>
      </w:r>
      <w:r w:rsidR="00E62642" w:rsidRPr="009B4F22">
        <w:rPr>
          <w:rFonts w:cs="Arial"/>
          <w:color w:val="000000" w:themeColor="text1"/>
          <w:szCs w:val="20"/>
        </w:rPr>
        <w:t xml:space="preserve"> 1</w:t>
      </w:r>
      <w:r w:rsidR="00595AD8">
        <w:rPr>
          <w:rFonts w:cs="Arial"/>
          <w:color w:val="000000" w:themeColor="text1"/>
          <w:szCs w:val="20"/>
        </w:rPr>
        <w:t>7</w:t>
      </w:r>
      <w:r w:rsidRPr="009B4F22">
        <w:rPr>
          <w:rFonts w:cs="Arial"/>
          <w:color w:val="000000" w:themeColor="text1"/>
          <w:szCs w:val="20"/>
        </w:rPr>
        <w:t>: Uključivanje nezaposlenih u aktivne mjere zapošljavanja</w:t>
      </w:r>
      <w:r w:rsidR="00FA73E2">
        <w:rPr>
          <w:rFonts w:cs="Arial"/>
          <w:color w:val="000000" w:themeColor="text1"/>
          <w:szCs w:val="20"/>
        </w:rPr>
        <w:t xml:space="preserve"> </w:t>
      </w:r>
      <w:r w:rsidR="00FA73E2" w:rsidRPr="006B71DC">
        <w:rPr>
          <w:rFonts w:eastAsia="Cambria" w:cs="Arial"/>
          <w:color w:val="000000" w:themeColor="text1"/>
          <w:kern w:val="24"/>
          <w:szCs w:val="20"/>
        </w:rPr>
        <w:t>(Biro rada Podgorica I Biro rada Golubovci)</w:t>
      </w:r>
      <w:r w:rsidR="0090441A">
        <w:rPr>
          <w:rStyle w:val="FootnoteReference"/>
          <w:rFonts w:cs="Arial"/>
          <w:color w:val="000000" w:themeColor="text1"/>
          <w:szCs w:val="20"/>
        </w:rPr>
        <w:footnoteReference w:id="16"/>
      </w:r>
    </w:p>
    <w:p w:rsidR="007F2200" w:rsidRDefault="007F2200" w:rsidP="005526BB">
      <w:pPr>
        <w:jc w:val="both"/>
        <w:rPr>
          <w:rFonts w:cs="Arial"/>
          <w:color w:val="000000" w:themeColor="text1"/>
          <w:szCs w:val="20"/>
        </w:rPr>
      </w:pPr>
    </w:p>
    <w:tbl>
      <w:tblPr>
        <w:tblW w:w="9363" w:type="dxa"/>
        <w:tblInd w:w="-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27"/>
        <w:gridCol w:w="926"/>
        <w:gridCol w:w="1456"/>
        <w:gridCol w:w="1478"/>
        <w:gridCol w:w="1478"/>
        <w:gridCol w:w="938"/>
        <w:gridCol w:w="926"/>
        <w:gridCol w:w="1234"/>
      </w:tblGrid>
      <w:tr w:rsidR="00301976" w:rsidRPr="00301976" w:rsidTr="007F2200">
        <w:trPr>
          <w:trHeight w:val="554"/>
        </w:trPr>
        <w:tc>
          <w:tcPr>
            <w:tcW w:w="927" w:type="dxa"/>
            <w:vMerge w:val="restart"/>
            <w:tcBorders>
              <w:right w:val="nil"/>
            </w:tcBorders>
            <w:shd w:val="clear" w:color="000000" w:fill="FFCC66"/>
            <w:vAlign w:val="center"/>
            <w:hideMark/>
          </w:tcPr>
          <w:p w:rsidR="00301976" w:rsidRPr="00301976" w:rsidRDefault="00301976" w:rsidP="005526BB">
            <w:pPr>
              <w:rPr>
                <w:rFonts w:eastAsia="Times New Roman" w:cs="Calibri"/>
                <w:b/>
                <w:bCs/>
                <w:color w:val="000000"/>
                <w:sz w:val="18"/>
                <w:lang w:val="en-US"/>
              </w:rPr>
            </w:pPr>
            <w:r w:rsidRPr="00301976">
              <w:rPr>
                <w:rFonts w:eastAsia="Times New Roman" w:cs="Calibri"/>
                <w:b/>
                <w:bCs/>
                <w:color w:val="000000"/>
                <w:sz w:val="18"/>
                <w:lang w:val="en-US"/>
              </w:rPr>
              <w:t> </w:t>
            </w:r>
          </w:p>
        </w:tc>
        <w:tc>
          <w:tcPr>
            <w:tcW w:w="926" w:type="dxa"/>
            <w:vMerge w:val="restart"/>
            <w:tcBorders>
              <w:left w:val="nil"/>
              <w:right w:val="nil"/>
            </w:tcBorders>
            <w:shd w:val="clear" w:color="000000" w:fill="FFCC66"/>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Javni rad</w:t>
            </w:r>
          </w:p>
        </w:tc>
        <w:tc>
          <w:tcPr>
            <w:tcW w:w="1456" w:type="dxa"/>
            <w:vMerge w:val="restart"/>
            <w:tcBorders>
              <w:left w:val="nil"/>
              <w:right w:val="nil"/>
            </w:tcBorders>
            <w:shd w:val="clear" w:color="000000" w:fill="FFCC66"/>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hr-HR"/>
              </w:rPr>
              <w:t>Obrazovanje  i osposobljavanje odraslih</w:t>
            </w:r>
          </w:p>
        </w:tc>
        <w:tc>
          <w:tcPr>
            <w:tcW w:w="1478" w:type="dxa"/>
            <w:vMerge w:val="restart"/>
            <w:tcBorders>
              <w:left w:val="nil"/>
              <w:right w:val="nil"/>
            </w:tcBorders>
            <w:shd w:val="clear" w:color="000000" w:fill="FFCC66"/>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Osposobljavanje za samostalan rad</w:t>
            </w:r>
          </w:p>
        </w:tc>
        <w:tc>
          <w:tcPr>
            <w:tcW w:w="1478" w:type="dxa"/>
            <w:vMerge w:val="restart"/>
            <w:tcBorders>
              <w:left w:val="nil"/>
              <w:right w:val="nil"/>
            </w:tcBorders>
            <w:shd w:val="clear" w:color="000000" w:fill="FFCC66"/>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Osposobljavanje za rad kod poslodavca</w:t>
            </w:r>
          </w:p>
        </w:tc>
        <w:tc>
          <w:tcPr>
            <w:tcW w:w="938" w:type="dxa"/>
            <w:vMerge w:val="restart"/>
            <w:tcBorders>
              <w:left w:val="nil"/>
              <w:right w:val="nil"/>
            </w:tcBorders>
            <w:shd w:val="clear" w:color="000000" w:fill="FFCC66"/>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hr-HR"/>
              </w:rPr>
              <w:t>Ostali programi</w:t>
            </w:r>
          </w:p>
        </w:tc>
        <w:tc>
          <w:tcPr>
            <w:tcW w:w="926" w:type="dxa"/>
            <w:vMerge w:val="restart"/>
            <w:tcBorders>
              <w:left w:val="nil"/>
              <w:right w:val="nil"/>
            </w:tcBorders>
            <w:shd w:val="clear" w:color="000000" w:fill="FFCC66"/>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Ukupno</w:t>
            </w:r>
          </w:p>
        </w:tc>
        <w:tc>
          <w:tcPr>
            <w:tcW w:w="1234" w:type="dxa"/>
            <w:vMerge w:val="restart"/>
            <w:tcBorders>
              <w:left w:val="nil"/>
            </w:tcBorders>
            <w:shd w:val="clear" w:color="000000" w:fill="FFCC66"/>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 u odnosu na ukupan broj nezaposlenih</w:t>
            </w:r>
          </w:p>
        </w:tc>
      </w:tr>
      <w:tr w:rsidR="00301976" w:rsidRPr="00301976" w:rsidTr="007F2200">
        <w:trPr>
          <w:trHeight w:val="234"/>
        </w:trPr>
        <w:tc>
          <w:tcPr>
            <w:tcW w:w="927" w:type="dxa"/>
            <w:vMerge/>
            <w:tcBorders>
              <w:right w:val="nil"/>
            </w:tcBorders>
            <w:vAlign w:val="center"/>
            <w:hideMark/>
          </w:tcPr>
          <w:p w:rsidR="00301976" w:rsidRPr="00301976" w:rsidRDefault="00301976" w:rsidP="005526BB">
            <w:pPr>
              <w:rPr>
                <w:rFonts w:eastAsia="Times New Roman" w:cs="Calibri"/>
                <w:b/>
                <w:bCs/>
                <w:color w:val="000000"/>
                <w:sz w:val="18"/>
                <w:lang w:val="en-US"/>
              </w:rPr>
            </w:pPr>
          </w:p>
        </w:tc>
        <w:tc>
          <w:tcPr>
            <w:tcW w:w="926" w:type="dxa"/>
            <w:vMerge/>
            <w:tcBorders>
              <w:left w:val="nil"/>
              <w:right w:val="nil"/>
            </w:tcBorders>
            <w:vAlign w:val="center"/>
            <w:hideMark/>
          </w:tcPr>
          <w:p w:rsidR="00301976" w:rsidRPr="00301976" w:rsidRDefault="00301976" w:rsidP="005526BB">
            <w:pPr>
              <w:rPr>
                <w:rFonts w:eastAsia="Times New Roman" w:cs="Calibri"/>
                <w:color w:val="000000"/>
                <w:sz w:val="18"/>
                <w:lang w:val="en-US"/>
              </w:rPr>
            </w:pPr>
          </w:p>
        </w:tc>
        <w:tc>
          <w:tcPr>
            <w:tcW w:w="1456" w:type="dxa"/>
            <w:vMerge/>
            <w:tcBorders>
              <w:left w:val="nil"/>
              <w:right w:val="nil"/>
            </w:tcBorders>
            <w:vAlign w:val="center"/>
            <w:hideMark/>
          </w:tcPr>
          <w:p w:rsidR="00301976" w:rsidRPr="00301976" w:rsidRDefault="00301976" w:rsidP="005526BB">
            <w:pPr>
              <w:rPr>
                <w:rFonts w:eastAsia="Times New Roman" w:cs="Calibri"/>
                <w:color w:val="000000"/>
                <w:sz w:val="18"/>
                <w:lang w:val="en-US"/>
              </w:rPr>
            </w:pPr>
          </w:p>
        </w:tc>
        <w:tc>
          <w:tcPr>
            <w:tcW w:w="1478" w:type="dxa"/>
            <w:vMerge/>
            <w:tcBorders>
              <w:left w:val="nil"/>
              <w:right w:val="nil"/>
            </w:tcBorders>
            <w:vAlign w:val="center"/>
            <w:hideMark/>
          </w:tcPr>
          <w:p w:rsidR="00301976" w:rsidRPr="00301976" w:rsidRDefault="00301976" w:rsidP="005526BB">
            <w:pPr>
              <w:rPr>
                <w:rFonts w:eastAsia="Times New Roman" w:cs="Calibri"/>
                <w:color w:val="000000"/>
                <w:sz w:val="18"/>
                <w:lang w:val="en-US"/>
              </w:rPr>
            </w:pPr>
          </w:p>
        </w:tc>
        <w:tc>
          <w:tcPr>
            <w:tcW w:w="1478" w:type="dxa"/>
            <w:vMerge/>
            <w:tcBorders>
              <w:left w:val="nil"/>
              <w:right w:val="nil"/>
            </w:tcBorders>
            <w:vAlign w:val="center"/>
            <w:hideMark/>
          </w:tcPr>
          <w:p w:rsidR="00301976" w:rsidRPr="00301976" w:rsidRDefault="00301976" w:rsidP="005526BB">
            <w:pPr>
              <w:rPr>
                <w:rFonts w:eastAsia="Times New Roman" w:cs="Calibri"/>
                <w:color w:val="000000"/>
                <w:sz w:val="18"/>
                <w:lang w:val="en-US"/>
              </w:rPr>
            </w:pPr>
          </w:p>
        </w:tc>
        <w:tc>
          <w:tcPr>
            <w:tcW w:w="938" w:type="dxa"/>
            <w:vMerge/>
            <w:tcBorders>
              <w:left w:val="nil"/>
              <w:right w:val="nil"/>
            </w:tcBorders>
            <w:vAlign w:val="center"/>
            <w:hideMark/>
          </w:tcPr>
          <w:p w:rsidR="00301976" w:rsidRPr="00301976" w:rsidRDefault="00301976" w:rsidP="005526BB">
            <w:pPr>
              <w:rPr>
                <w:rFonts w:eastAsia="Times New Roman" w:cs="Calibri"/>
                <w:color w:val="000000"/>
                <w:sz w:val="18"/>
                <w:lang w:val="en-US"/>
              </w:rPr>
            </w:pPr>
          </w:p>
        </w:tc>
        <w:tc>
          <w:tcPr>
            <w:tcW w:w="926" w:type="dxa"/>
            <w:vMerge/>
            <w:tcBorders>
              <w:left w:val="nil"/>
              <w:right w:val="nil"/>
            </w:tcBorders>
            <w:vAlign w:val="center"/>
            <w:hideMark/>
          </w:tcPr>
          <w:p w:rsidR="00301976" w:rsidRPr="00301976" w:rsidRDefault="00301976" w:rsidP="005526BB">
            <w:pPr>
              <w:rPr>
                <w:rFonts w:eastAsia="Times New Roman" w:cs="Calibri"/>
                <w:color w:val="000000"/>
                <w:sz w:val="18"/>
                <w:lang w:val="en-US"/>
              </w:rPr>
            </w:pPr>
          </w:p>
        </w:tc>
        <w:tc>
          <w:tcPr>
            <w:tcW w:w="1234" w:type="dxa"/>
            <w:vMerge/>
            <w:tcBorders>
              <w:left w:val="nil"/>
            </w:tcBorders>
            <w:vAlign w:val="center"/>
            <w:hideMark/>
          </w:tcPr>
          <w:p w:rsidR="00301976" w:rsidRPr="00301976" w:rsidRDefault="00301976" w:rsidP="005526BB">
            <w:pPr>
              <w:rPr>
                <w:rFonts w:eastAsia="Times New Roman" w:cs="Calibri"/>
                <w:color w:val="000000"/>
                <w:sz w:val="18"/>
                <w:lang w:val="en-US"/>
              </w:rPr>
            </w:pPr>
          </w:p>
        </w:tc>
      </w:tr>
      <w:tr w:rsidR="00301976" w:rsidRPr="00301976" w:rsidTr="007F2200">
        <w:trPr>
          <w:trHeight w:val="143"/>
        </w:trPr>
        <w:tc>
          <w:tcPr>
            <w:tcW w:w="927" w:type="dxa"/>
            <w:tcBorders>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2019</w:t>
            </w:r>
            <w:r w:rsidR="007175D4">
              <w:rPr>
                <w:rFonts w:eastAsia="Times New Roman" w:cs="Calibri"/>
                <w:color w:val="000000"/>
                <w:sz w:val="18"/>
                <w:lang w:val="en-US"/>
              </w:rPr>
              <w:t>.</w:t>
            </w:r>
          </w:p>
        </w:tc>
        <w:tc>
          <w:tcPr>
            <w:tcW w:w="92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131</w:t>
            </w:r>
          </w:p>
        </w:tc>
        <w:tc>
          <w:tcPr>
            <w:tcW w:w="145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309</w:t>
            </w:r>
          </w:p>
        </w:tc>
        <w:tc>
          <w:tcPr>
            <w:tcW w:w="1478"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53</w:t>
            </w:r>
          </w:p>
        </w:tc>
        <w:tc>
          <w:tcPr>
            <w:tcW w:w="1478" w:type="dxa"/>
            <w:tcBorders>
              <w:left w:val="nil"/>
              <w:right w:val="nil"/>
            </w:tcBorders>
            <w:shd w:val="clear" w:color="auto" w:fill="auto"/>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67</w:t>
            </w:r>
          </w:p>
        </w:tc>
        <w:tc>
          <w:tcPr>
            <w:tcW w:w="938"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64</w:t>
            </w:r>
          </w:p>
        </w:tc>
        <w:tc>
          <w:tcPr>
            <w:tcW w:w="92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624</w:t>
            </w:r>
          </w:p>
        </w:tc>
        <w:tc>
          <w:tcPr>
            <w:tcW w:w="1234" w:type="dxa"/>
            <w:tcBorders>
              <w:left w:val="nil"/>
            </w:tcBorders>
            <w:shd w:val="clear" w:color="auto" w:fill="auto"/>
            <w:noWrap/>
            <w:vAlign w:val="center"/>
            <w:hideMark/>
          </w:tcPr>
          <w:p w:rsidR="00301976" w:rsidRPr="00301976" w:rsidRDefault="00D60C3B" w:rsidP="005526BB">
            <w:pPr>
              <w:jc w:val="center"/>
              <w:rPr>
                <w:rFonts w:eastAsia="Times New Roman" w:cs="Calibri"/>
                <w:color w:val="000000"/>
                <w:sz w:val="18"/>
                <w:lang w:val="en-US"/>
              </w:rPr>
            </w:pPr>
            <w:r>
              <w:rPr>
                <w:rFonts w:eastAsia="Times New Roman" w:cs="Calibri"/>
                <w:color w:val="000000"/>
                <w:sz w:val="18"/>
                <w:lang w:val="en-US"/>
              </w:rPr>
              <w:t>5,8</w:t>
            </w:r>
          </w:p>
        </w:tc>
      </w:tr>
      <w:tr w:rsidR="00301976" w:rsidRPr="00301976" w:rsidTr="007F2200">
        <w:trPr>
          <w:trHeight w:val="143"/>
        </w:trPr>
        <w:tc>
          <w:tcPr>
            <w:tcW w:w="927" w:type="dxa"/>
            <w:tcBorders>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2018</w:t>
            </w:r>
            <w:r w:rsidR="007175D4">
              <w:rPr>
                <w:rFonts w:eastAsia="Times New Roman" w:cs="Calibri"/>
                <w:color w:val="000000"/>
                <w:sz w:val="18"/>
                <w:lang w:val="en-US"/>
              </w:rPr>
              <w:t>.</w:t>
            </w:r>
          </w:p>
        </w:tc>
        <w:tc>
          <w:tcPr>
            <w:tcW w:w="92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266</w:t>
            </w:r>
          </w:p>
        </w:tc>
        <w:tc>
          <w:tcPr>
            <w:tcW w:w="145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351</w:t>
            </w:r>
          </w:p>
        </w:tc>
        <w:tc>
          <w:tcPr>
            <w:tcW w:w="1478" w:type="dxa"/>
            <w:tcBorders>
              <w:left w:val="nil"/>
              <w:right w:val="nil"/>
            </w:tcBorders>
            <w:shd w:val="clear" w:color="auto" w:fill="auto"/>
            <w:noWrap/>
            <w:vAlign w:val="center"/>
            <w:hideMark/>
          </w:tcPr>
          <w:p w:rsidR="00301976" w:rsidRPr="00301976" w:rsidRDefault="009C6904" w:rsidP="005526BB">
            <w:pPr>
              <w:jc w:val="center"/>
              <w:rPr>
                <w:rFonts w:eastAsia="Times New Roman" w:cs="Calibri"/>
                <w:color w:val="000000"/>
                <w:sz w:val="18"/>
                <w:lang w:val="en-US"/>
              </w:rPr>
            </w:pPr>
            <w:r>
              <w:rPr>
                <w:rFonts w:eastAsia="Times New Roman" w:cs="Calibri"/>
                <w:color w:val="000000"/>
                <w:sz w:val="18"/>
                <w:lang w:val="en-US"/>
              </w:rPr>
              <w:t>/</w:t>
            </w:r>
          </w:p>
        </w:tc>
        <w:tc>
          <w:tcPr>
            <w:tcW w:w="1478" w:type="dxa"/>
            <w:tcBorders>
              <w:left w:val="nil"/>
              <w:right w:val="nil"/>
            </w:tcBorders>
            <w:shd w:val="clear" w:color="auto" w:fill="auto"/>
            <w:noWrap/>
            <w:vAlign w:val="center"/>
            <w:hideMark/>
          </w:tcPr>
          <w:p w:rsidR="00301976" w:rsidRPr="00301976" w:rsidRDefault="009C6904" w:rsidP="005526BB">
            <w:pPr>
              <w:jc w:val="center"/>
              <w:rPr>
                <w:rFonts w:eastAsia="Times New Roman" w:cs="Calibri"/>
                <w:color w:val="000000"/>
                <w:sz w:val="18"/>
                <w:lang w:val="en-US"/>
              </w:rPr>
            </w:pPr>
            <w:r>
              <w:rPr>
                <w:rFonts w:eastAsia="Times New Roman" w:cs="Calibri"/>
                <w:color w:val="000000"/>
                <w:sz w:val="18"/>
                <w:lang w:val="en-US"/>
              </w:rPr>
              <w:t>/</w:t>
            </w:r>
            <w:r w:rsidR="00301976" w:rsidRPr="00301976">
              <w:rPr>
                <w:rFonts w:eastAsia="Times New Roman" w:cs="Calibri"/>
                <w:color w:val="000000"/>
                <w:sz w:val="18"/>
                <w:lang w:val="en-US"/>
              </w:rPr>
              <w:t> </w:t>
            </w:r>
          </w:p>
        </w:tc>
        <w:tc>
          <w:tcPr>
            <w:tcW w:w="938"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242</w:t>
            </w:r>
          </w:p>
        </w:tc>
        <w:tc>
          <w:tcPr>
            <w:tcW w:w="92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859</w:t>
            </w:r>
          </w:p>
        </w:tc>
        <w:tc>
          <w:tcPr>
            <w:tcW w:w="1234" w:type="dxa"/>
            <w:tcBorders>
              <w:lef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 </w:t>
            </w:r>
            <w:r w:rsidR="00D60C3B">
              <w:rPr>
                <w:rFonts w:eastAsia="Times New Roman" w:cs="Calibri"/>
                <w:color w:val="000000"/>
                <w:sz w:val="18"/>
                <w:lang w:val="en-US"/>
              </w:rPr>
              <w:t>7,3</w:t>
            </w:r>
          </w:p>
        </w:tc>
      </w:tr>
      <w:tr w:rsidR="00301976" w:rsidRPr="00301976" w:rsidTr="007F2200">
        <w:trPr>
          <w:trHeight w:val="136"/>
        </w:trPr>
        <w:tc>
          <w:tcPr>
            <w:tcW w:w="927" w:type="dxa"/>
            <w:tcBorders>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2017</w:t>
            </w:r>
            <w:r w:rsidR="007175D4">
              <w:rPr>
                <w:rFonts w:eastAsia="Times New Roman" w:cs="Calibri"/>
                <w:color w:val="000000"/>
                <w:sz w:val="18"/>
                <w:lang w:val="en-US"/>
              </w:rPr>
              <w:t>.</w:t>
            </w:r>
          </w:p>
        </w:tc>
        <w:tc>
          <w:tcPr>
            <w:tcW w:w="92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222</w:t>
            </w:r>
          </w:p>
        </w:tc>
        <w:tc>
          <w:tcPr>
            <w:tcW w:w="145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127</w:t>
            </w:r>
          </w:p>
        </w:tc>
        <w:tc>
          <w:tcPr>
            <w:tcW w:w="1478"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11</w:t>
            </w:r>
          </w:p>
        </w:tc>
        <w:tc>
          <w:tcPr>
            <w:tcW w:w="1478"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16</w:t>
            </w:r>
          </w:p>
        </w:tc>
        <w:tc>
          <w:tcPr>
            <w:tcW w:w="938"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63</w:t>
            </w:r>
          </w:p>
        </w:tc>
        <w:tc>
          <w:tcPr>
            <w:tcW w:w="92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439</w:t>
            </w:r>
          </w:p>
        </w:tc>
        <w:tc>
          <w:tcPr>
            <w:tcW w:w="1234" w:type="dxa"/>
            <w:tcBorders>
              <w:lef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 </w:t>
            </w:r>
            <w:r w:rsidR="00D60C3B">
              <w:rPr>
                <w:rFonts w:eastAsia="Times New Roman" w:cs="Calibri"/>
                <w:color w:val="000000"/>
                <w:sz w:val="18"/>
                <w:lang w:val="en-US"/>
              </w:rPr>
              <w:t>4,6</w:t>
            </w:r>
          </w:p>
        </w:tc>
      </w:tr>
      <w:tr w:rsidR="00301976" w:rsidRPr="00301976" w:rsidTr="007F2200">
        <w:trPr>
          <w:trHeight w:val="136"/>
        </w:trPr>
        <w:tc>
          <w:tcPr>
            <w:tcW w:w="927" w:type="dxa"/>
            <w:tcBorders>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lastRenderedPageBreak/>
              <w:t>2016</w:t>
            </w:r>
            <w:r w:rsidR="007175D4">
              <w:rPr>
                <w:rFonts w:eastAsia="Times New Roman" w:cs="Calibri"/>
                <w:color w:val="000000"/>
                <w:sz w:val="18"/>
                <w:lang w:val="en-US"/>
              </w:rPr>
              <w:t>.</w:t>
            </w:r>
          </w:p>
        </w:tc>
        <w:tc>
          <w:tcPr>
            <w:tcW w:w="92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201</w:t>
            </w:r>
          </w:p>
        </w:tc>
        <w:tc>
          <w:tcPr>
            <w:tcW w:w="145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179</w:t>
            </w:r>
          </w:p>
        </w:tc>
        <w:tc>
          <w:tcPr>
            <w:tcW w:w="1478"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16</w:t>
            </w:r>
          </w:p>
        </w:tc>
        <w:tc>
          <w:tcPr>
            <w:tcW w:w="1478"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44</w:t>
            </w:r>
          </w:p>
        </w:tc>
        <w:tc>
          <w:tcPr>
            <w:tcW w:w="938"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43</w:t>
            </w:r>
          </w:p>
        </w:tc>
        <w:tc>
          <w:tcPr>
            <w:tcW w:w="926" w:type="dxa"/>
            <w:tcBorders>
              <w:left w:val="nil"/>
              <w:right w:val="nil"/>
            </w:tcBorders>
            <w:shd w:val="clear" w:color="auto" w:fill="auto"/>
            <w:noWrap/>
            <w:vAlign w:val="center"/>
            <w:hideMark/>
          </w:tcPr>
          <w:p w:rsidR="00301976" w:rsidRPr="00301976" w:rsidRDefault="00301976" w:rsidP="005526BB">
            <w:pPr>
              <w:jc w:val="center"/>
              <w:rPr>
                <w:rFonts w:eastAsia="Times New Roman" w:cs="Calibri"/>
                <w:color w:val="000000"/>
                <w:sz w:val="18"/>
                <w:lang w:val="en-US"/>
              </w:rPr>
            </w:pPr>
            <w:r w:rsidRPr="00301976">
              <w:rPr>
                <w:rFonts w:eastAsia="Times New Roman" w:cs="Calibri"/>
                <w:color w:val="000000"/>
                <w:sz w:val="18"/>
                <w:lang w:val="en-US"/>
              </w:rPr>
              <w:t>483</w:t>
            </w:r>
          </w:p>
        </w:tc>
        <w:tc>
          <w:tcPr>
            <w:tcW w:w="1234" w:type="dxa"/>
            <w:tcBorders>
              <w:left w:val="nil"/>
            </w:tcBorders>
            <w:shd w:val="clear" w:color="auto" w:fill="auto"/>
            <w:noWrap/>
            <w:vAlign w:val="bottom"/>
            <w:hideMark/>
          </w:tcPr>
          <w:p w:rsidR="00301976" w:rsidRPr="00301976" w:rsidRDefault="00301976" w:rsidP="005526BB">
            <w:pPr>
              <w:jc w:val="center"/>
              <w:rPr>
                <w:rFonts w:ascii="Calibri" w:eastAsia="Times New Roman" w:hAnsi="Calibri" w:cs="Calibri"/>
                <w:color w:val="000000"/>
                <w:sz w:val="22"/>
                <w:szCs w:val="22"/>
                <w:lang w:val="en-US"/>
              </w:rPr>
            </w:pPr>
            <w:r w:rsidRPr="00301976">
              <w:rPr>
                <w:rFonts w:ascii="Calibri" w:eastAsia="Times New Roman" w:hAnsi="Calibri" w:cs="Calibri"/>
                <w:color w:val="000000"/>
                <w:sz w:val="22"/>
                <w:szCs w:val="22"/>
                <w:lang w:val="en-US"/>
              </w:rPr>
              <w:t> </w:t>
            </w:r>
            <w:r w:rsidR="00D60C3B" w:rsidRPr="00D60C3B">
              <w:rPr>
                <w:rFonts w:eastAsia="Times New Roman" w:cs="Calibri"/>
                <w:color w:val="000000"/>
                <w:sz w:val="18"/>
                <w:lang w:val="en-US"/>
              </w:rPr>
              <w:t>7,1</w:t>
            </w:r>
          </w:p>
        </w:tc>
      </w:tr>
    </w:tbl>
    <w:p w:rsidR="00DB7C5A" w:rsidRPr="003E247B" w:rsidRDefault="00B172D2" w:rsidP="005526BB">
      <w:pPr>
        <w:jc w:val="right"/>
        <w:rPr>
          <w:rFonts w:cs="Arial"/>
          <w:i/>
          <w:iCs/>
          <w:color w:val="000000" w:themeColor="text1"/>
          <w:sz w:val="18"/>
        </w:rPr>
      </w:pPr>
      <w:r w:rsidRPr="003E247B">
        <w:rPr>
          <w:i/>
          <w:iCs/>
          <w:color w:val="000000" w:themeColor="text1"/>
          <w:sz w:val="18"/>
        </w:rPr>
        <w:t>Izvor: Zavod za zapošljavanje Crne Gore, Izvještaji o radu 2016-2019.</w:t>
      </w:r>
    </w:p>
    <w:p w:rsidR="00F73600" w:rsidRDefault="00F73600" w:rsidP="005526BB">
      <w:pPr>
        <w:pStyle w:val="NoSpacing"/>
        <w:jc w:val="both"/>
        <w:rPr>
          <w:rFonts w:ascii="Cambria" w:hAnsi="Cambria" w:cs="Times New Roman"/>
        </w:rPr>
      </w:pPr>
    </w:p>
    <w:p w:rsidR="00C7285E" w:rsidRPr="008E0A1A" w:rsidRDefault="00C7285E" w:rsidP="00C7285E">
      <w:pPr>
        <w:jc w:val="both"/>
        <w:rPr>
          <w:rFonts w:cs="Arial"/>
          <w:color w:val="000000" w:themeColor="text1"/>
          <w:sz w:val="22"/>
          <w:szCs w:val="22"/>
        </w:rPr>
      </w:pPr>
      <w:r>
        <w:rPr>
          <w:rFonts w:cs="Arial"/>
          <w:color w:val="000000" w:themeColor="text1"/>
          <w:sz w:val="22"/>
          <w:szCs w:val="22"/>
        </w:rPr>
        <w:t>Tokom prethodnih godina, biroi</w:t>
      </w:r>
      <w:r w:rsidRPr="008E0A1A">
        <w:rPr>
          <w:rFonts w:cs="Arial"/>
          <w:color w:val="000000" w:themeColor="text1"/>
          <w:sz w:val="22"/>
          <w:szCs w:val="22"/>
        </w:rPr>
        <w:t xml:space="preserve"> rada </w:t>
      </w:r>
      <w:r>
        <w:rPr>
          <w:rFonts w:cs="Arial"/>
          <w:color w:val="000000" w:themeColor="text1"/>
          <w:sz w:val="22"/>
          <w:szCs w:val="22"/>
        </w:rPr>
        <w:t>Podgorica i Golubovci</w:t>
      </w:r>
      <w:r w:rsidRPr="008E0A1A">
        <w:rPr>
          <w:rFonts w:cs="Arial"/>
          <w:color w:val="000000" w:themeColor="text1"/>
          <w:sz w:val="22"/>
          <w:szCs w:val="22"/>
        </w:rPr>
        <w:t xml:space="preserve"> </w:t>
      </w:r>
      <w:r>
        <w:rPr>
          <w:rFonts w:cs="Arial"/>
          <w:color w:val="000000" w:themeColor="text1"/>
          <w:sz w:val="22"/>
          <w:szCs w:val="22"/>
        </w:rPr>
        <w:t>su sproveli</w:t>
      </w:r>
      <w:r w:rsidRPr="008E0A1A">
        <w:rPr>
          <w:rFonts w:cs="Arial"/>
          <w:color w:val="000000" w:themeColor="text1"/>
          <w:sz w:val="22"/>
          <w:szCs w:val="22"/>
        </w:rPr>
        <w:t xml:space="preserve"> različite aktivne mjere zapošljavanja, među kojima se mogu izdvojiti javni radovi</w:t>
      </w:r>
      <w:r>
        <w:rPr>
          <w:rFonts w:cs="Arial"/>
          <w:color w:val="000000" w:themeColor="text1"/>
          <w:sz w:val="22"/>
          <w:szCs w:val="22"/>
        </w:rPr>
        <w:t xml:space="preserve"> </w:t>
      </w:r>
      <w:r w:rsidRPr="007F2200">
        <w:rPr>
          <w:rFonts w:cs="Arial"/>
          <w:color w:val="000000" w:themeColor="text1"/>
          <w:sz w:val="22"/>
          <w:szCs w:val="22"/>
        </w:rPr>
        <w:t>(</w:t>
      </w:r>
      <w:r w:rsidR="00DF065F" w:rsidRPr="007F2200">
        <w:rPr>
          <w:rFonts w:cs="Arial"/>
          <w:color w:val="000000" w:themeColor="text1"/>
          <w:sz w:val="22"/>
          <w:szCs w:val="22"/>
        </w:rPr>
        <w:t xml:space="preserve">uključujući projekat </w:t>
      </w:r>
      <w:r w:rsidRPr="007F2200">
        <w:rPr>
          <w:rFonts w:cs="Arial"/>
          <w:color w:val="000000" w:themeColor="text1"/>
          <w:sz w:val="22"/>
          <w:szCs w:val="22"/>
        </w:rPr>
        <w:t>„Neka</w:t>
      </w:r>
      <w:r>
        <w:rPr>
          <w:rFonts w:cs="Arial"/>
          <w:color w:val="000000" w:themeColor="text1"/>
          <w:sz w:val="22"/>
          <w:szCs w:val="22"/>
        </w:rPr>
        <w:t xml:space="preserve"> bude čisto“)</w:t>
      </w:r>
      <w:r w:rsidRPr="008E0A1A">
        <w:rPr>
          <w:rFonts w:cs="Arial"/>
          <w:color w:val="000000" w:themeColor="text1"/>
          <w:sz w:val="22"/>
          <w:szCs w:val="22"/>
        </w:rPr>
        <w:t xml:space="preserve">, </w:t>
      </w:r>
      <w:r>
        <w:rPr>
          <w:rFonts w:cs="Arial"/>
          <w:color w:val="000000" w:themeColor="text1"/>
          <w:sz w:val="22"/>
          <w:szCs w:val="22"/>
        </w:rPr>
        <w:t xml:space="preserve">obrazovanje i </w:t>
      </w:r>
      <w:r w:rsidRPr="008E0A1A">
        <w:rPr>
          <w:rFonts w:cs="Arial"/>
          <w:color w:val="000000" w:themeColor="text1"/>
          <w:sz w:val="22"/>
          <w:szCs w:val="22"/>
        </w:rPr>
        <w:t xml:space="preserve">osposobljavanje odraslih, osposobljavanje lica </w:t>
      </w:r>
      <w:r>
        <w:rPr>
          <w:rFonts w:cs="Arial"/>
          <w:color w:val="000000" w:themeColor="text1"/>
          <w:sz w:val="22"/>
          <w:szCs w:val="22"/>
        </w:rPr>
        <w:t>z</w:t>
      </w:r>
      <w:r w:rsidRPr="008E0A1A">
        <w:rPr>
          <w:rFonts w:cs="Arial"/>
          <w:color w:val="000000" w:themeColor="text1"/>
          <w:sz w:val="22"/>
          <w:szCs w:val="22"/>
        </w:rPr>
        <w:t>a samostalni rad i za rad kod poslodavca, kao i drugi programi namijenjeni određenim ciljnim grupama</w:t>
      </w:r>
      <w:r>
        <w:rPr>
          <w:rFonts w:cs="Arial"/>
          <w:color w:val="000000" w:themeColor="text1"/>
          <w:sz w:val="22"/>
          <w:szCs w:val="22"/>
        </w:rPr>
        <w:t xml:space="preserve"> koji su se sprovodili u određenim godinama</w:t>
      </w:r>
      <w:r w:rsidRPr="008E0A1A">
        <w:rPr>
          <w:rFonts w:cs="Arial"/>
          <w:color w:val="000000" w:themeColor="text1"/>
          <w:sz w:val="22"/>
          <w:szCs w:val="22"/>
        </w:rPr>
        <w:t xml:space="preserve">, kao što su „Stop sivoj ekonomiji“, „Osnaži me i uspjeću“ i „Mladi su naš potencijal“. </w:t>
      </w:r>
    </w:p>
    <w:p w:rsidR="00C7285E" w:rsidRDefault="00C7285E" w:rsidP="005526BB">
      <w:pPr>
        <w:jc w:val="both"/>
        <w:rPr>
          <w:rFonts w:cs="Arial"/>
          <w:color w:val="000000" w:themeColor="text1"/>
          <w:sz w:val="22"/>
          <w:szCs w:val="22"/>
        </w:rPr>
      </w:pPr>
    </w:p>
    <w:p w:rsidR="00D60C3B" w:rsidRDefault="00D60C3B" w:rsidP="005526BB">
      <w:pPr>
        <w:jc w:val="both"/>
        <w:rPr>
          <w:rFonts w:cs="Arial"/>
          <w:color w:val="000000" w:themeColor="text1"/>
          <w:sz w:val="22"/>
          <w:szCs w:val="22"/>
        </w:rPr>
      </w:pPr>
      <w:r>
        <w:rPr>
          <w:rFonts w:cs="Arial"/>
          <w:color w:val="000000" w:themeColor="text1"/>
          <w:sz w:val="22"/>
          <w:szCs w:val="22"/>
        </w:rPr>
        <w:t xml:space="preserve">U periodu od 2016. do 2019. broj </w:t>
      </w:r>
      <w:r w:rsidRPr="002E73D1">
        <w:rPr>
          <w:rFonts w:cs="Arial"/>
          <w:color w:val="000000" w:themeColor="text1"/>
          <w:sz w:val="22"/>
          <w:szCs w:val="22"/>
        </w:rPr>
        <w:t xml:space="preserve">nezaposlenih koji </w:t>
      </w:r>
      <w:r>
        <w:rPr>
          <w:rFonts w:cs="Arial"/>
          <w:color w:val="000000" w:themeColor="text1"/>
          <w:sz w:val="22"/>
          <w:szCs w:val="22"/>
        </w:rPr>
        <w:t xml:space="preserve">su obuhvaćeni aktivnim politikama zapošljavanja je varirao. U periodu od 2016. do 2017. je smanjen broj uključenih nezaposlenih u aktivne mjere zapošljavanja sa 483 na 439 ili 10%. Nakon što je broj nezaposlenih obuhvaćenih ovim mjerama zapošljavanja u 2018. skoro udvostručen, u 2019. je smanjen za 27,4% u odnosu na prethodnu godinu. </w:t>
      </w:r>
    </w:p>
    <w:p w:rsidR="00A9256F" w:rsidRDefault="00A9256F" w:rsidP="005526BB">
      <w:pPr>
        <w:jc w:val="both"/>
        <w:rPr>
          <w:rFonts w:cs="Arial"/>
          <w:color w:val="000000" w:themeColor="text1"/>
          <w:sz w:val="22"/>
          <w:szCs w:val="22"/>
        </w:rPr>
      </w:pPr>
    </w:p>
    <w:p w:rsidR="00D60C3B" w:rsidRPr="002E73D1" w:rsidRDefault="00D60C3B" w:rsidP="005526BB">
      <w:pPr>
        <w:jc w:val="both"/>
        <w:rPr>
          <w:rFonts w:cs="Arial"/>
          <w:color w:val="000000" w:themeColor="text1"/>
          <w:sz w:val="22"/>
          <w:szCs w:val="22"/>
        </w:rPr>
      </w:pPr>
      <w:r w:rsidRPr="002E73D1">
        <w:rPr>
          <w:rFonts w:cs="Arial"/>
          <w:color w:val="000000" w:themeColor="text1"/>
          <w:sz w:val="22"/>
          <w:szCs w:val="22"/>
        </w:rPr>
        <w:t>Najveći broj nezaposlenih je u 2019. godini uključen u program obrazovanja i os</w:t>
      </w:r>
      <w:r>
        <w:rPr>
          <w:rFonts w:cs="Arial"/>
          <w:color w:val="000000" w:themeColor="text1"/>
          <w:sz w:val="22"/>
          <w:szCs w:val="22"/>
        </w:rPr>
        <w:t>posobljavanja odraslih (49,5</w:t>
      </w:r>
      <w:r w:rsidRPr="002E73D1">
        <w:rPr>
          <w:rFonts w:cs="Arial"/>
          <w:color w:val="000000" w:themeColor="text1"/>
          <w:sz w:val="22"/>
          <w:szCs w:val="22"/>
        </w:rPr>
        <w:t xml:space="preserve">%). </w:t>
      </w:r>
      <w:r>
        <w:rPr>
          <w:rFonts w:cs="Arial"/>
          <w:color w:val="000000" w:themeColor="text1"/>
          <w:sz w:val="22"/>
          <w:szCs w:val="22"/>
        </w:rPr>
        <w:t>Sa druge strane</w:t>
      </w:r>
      <w:r w:rsidRPr="002E73D1">
        <w:rPr>
          <w:rFonts w:cs="Arial"/>
          <w:color w:val="000000" w:themeColor="text1"/>
          <w:sz w:val="22"/>
          <w:szCs w:val="22"/>
        </w:rPr>
        <w:t xml:space="preserve">, </w:t>
      </w:r>
      <w:r>
        <w:rPr>
          <w:rFonts w:cs="Arial"/>
          <w:color w:val="000000" w:themeColor="text1"/>
          <w:sz w:val="22"/>
          <w:szCs w:val="22"/>
        </w:rPr>
        <w:t xml:space="preserve">tokom </w:t>
      </w:r>
      <w:r w:rsidRPr="002E73D1">
        <w:rPr>
          <w:rFonts w:cs="Arial"/>
          <w:color w:val="000000" w:themeColor="text1"/>
          <w:sz w:val="22"/>
          <w:szCs w:val="22"/>
        </w:rPr>
        <w:t xml:space="preserve">2016-2017. najveći broj nezaposlenih je bio uključen u programe javnih radova. </w:t>
      </w:r>
    </w:p>
    <w:p w:rsidR="00D2254D" w:rsidRDefault="00D2254D" w:rsidP="005526BB">
      <w:pPr>
        <w:jc w:val="both"/>
        <w:rPr>
          <w:sz w:val="22"/>
          <w:szCs w:val="22"/>
          <w:lang w:val="bs-Latn-BA"/>
        </w:rPr>
      </w:pPr>
    </w:p>
    <w:p w:rsidR="00D60C3B" w:rsidRDefault="00D60C3B" w:rsidP="005526BB">
      <w:pPr>
        <w:jc w:val="both"/>
        <w:rPr>
          <w:sz w:val="22"/>
          <w:szCs w:val="22"/>
          <w:lang w:val="bs-Latn-BA"/>
        </w:rPr>
      </w:pPr>
      <w:r>
        <w:rPr>
          <w:sz w:val="22"/>
          <w:szCs w:val="22"/>
          <w:lang w:val="bs-Latn-BA"/>
        </w:rPr>
        <w:t>P</w:t>
      </w:r>
      <w:r w:rsidRPr="00212736">
        <w:rPr>
          <w:sz w:val="22"/>
          <w:szCs w:val="22"/>
          <w:lang w:val="bs-Latn-BA"/>
        </w:rPr>
        <w:t xml:space="preserve">reračunato na prosječan broj nezaposlenih </w:t>
      </w:r>
      <w:r w:rsidR="00D2254D" w:rsidRPr="000250A6">
        <w:rPr>
          <w:sz w:val="22"/>
          <w:szCs w:val="22"/>
          <w:lang w:val="bs-Latn-BA"/>
        </w:rPr>
        <w:t>u Glavnom gradu (</w:t>
      </w:r>
      <w:r w:rsidRPr="000250A6">
        <w:rPr>
          <w:sz w:val="22"/>
          <w:szCs w:val="22"/>
          <w:lang w:val="bs-Latn-BA"/>
        </w:rPr>
        <w:t>prijavljenih na Bir</w:t>
      </w:r>
      <w:r w:rsidR="00827A5C" w:rsidRPr="000250A6">
        <w:rPr>
          <w:sz w:val="22"/>
          <w:szCs w:val="22"/>
          <w:lang w:val="bs-Latn-BA"/>
        </w:rPr>
        <w:t>oima rada Podgorica i Golubovci</w:t>
      </w:r>
      <w:r w:rsidR="00D2254D" w:rsidRPr="000250A6">
        <w:rPr>
          <w:sz w:val="22"/>
          <w:szCs w:val="22"/>
          <w:lang w:val="bs-Latn-BA"/>
        </w:rPr>
        <w:t>)</w:t>
      </w:r>
      <w:r w:rsidR="00827A5C">
        <w:rPr>
          <w:sz w:val="22"/>
          <w:szCs w:val="22"/>
          <w:lang w:val="bs-Latn-BA"/>
        </w:rPr>
        <w:t>, u</w:t>
      </w:r>
      <w:r w:rsidRPr="00212736">
        <w:rPr>
          <w:sz w:val="22"/>
          <w:szCs w:val="22"/>
          <w:lang w:val="bs-Latn-BA"/>
        </w:rPr>
        <w:t xml:space="preserve"> 2019.</w:t>
      </w:r>
      <w:r w:rsidR="00827A5C">
        <w:rPr>
          <w:sz w:val="22"/>
          <w:szCs w:val="22"/>
          <w:lang w:val="bs-Latn-BA"/>
        </w:rPr>
        <w:t xml:space="preserve"> godini, bilo je uključeno 5,8</w:t>
      </w:r>
      <w:r w:rsidRPr="00212736">
        <w:rPr>
          <w:sz w:val="22"/>
          <w:szCs w:val="22"/>
          <w:lang w:val="bs-Latn-BA"/>
        </w:rPr>
        <w:t>% svih nezaposlenih</w:t>
      </w:r>
      <w:r w:rsidR="00827A5C">
        <w:rPr>
          <w:sz w:val="22"/>
          <w:szCs w:val="22"/>
          <w:lang w:val="bs-Latn-BA"/>
        </w:rPr>
        <w:t xml:space="preserve">, što je manje u poređenju sa 2016. i 2018. godinom. </w:t>
      </w:r>
    </w:p>
    <w:p w:rsidR="00827A5C" w:rsidRDefault="00827A5C" w:rsidP="005526BB"/>
    <w:p w:rsidR="004E3492" w:rsidRPr="00385224" w:rsidRDefault="00EC2702" w:rsidP="005526BB">
      <w:pPr>
        <w:rPr>
          <w:sz w:val="22"/>
          <w:szCs w:val="22"/>
        </w:rPr>
      </w:pPr>
      <w:r w:rsidRPr="00385224">
        <w:rPr>
          <w:sz w:val="22"/>
          <w:szCs w:val="22"/>
        </w:rPr>
        <w:t>3.3.</w:t>
      </w:r>
      <w:r w:rsidR="00FC2D96" w:rsidRPr="00385224">
        <w:rPr>
          <w:sz w:val="22"/>
          <w:szCs w:val="22"/>
        </w:rPr>
        <w:t>3</w:t>
      </w:r>
      <w:r w:rsidRPr="00385224">
        <w:rPr>
          <w:sz w:val="22"/>
          <w:szCs w:val="22"/>
        </w:rPr>
        <w:t xml:space="preserve"> </w:t>
      </w:r>
      <w:r w:rsidR="004E3492" w:rsidRPr="00385224">
        <w:rPr>
          <w:sz w:val="22"/>
          <w:szCs w:val="22"/>
        </w:rPr>
        <w:t>Profesionalna rehabilitacija lica sa invaliditetom</w:t>
      </w:r>
    </w:p>
    <w:p w:rsidR="00CA1329" w:rsidRDefault="00CA1329" w:rsidP="005526BB">
      <w:pPr>
        <w:pStyle w:val="NoSpacing"/>
        <w:jc w:val="both"/>
        <w:rPr>
          <w:rFonts w:ascii="Cambria" w:hAnsi="Cambria" w:cs="Times New Roman"/>
        </w:rPr>
      </w:pPr>
    </w:p>
    <w:p w:rsidR="00A726F7" w:rsidRPr="00C75D9B" w:rsidRDefault="00A726F7" w:rsidP="005526BB">
      <w:pPr>
        <w:pStyle w:val="NoSpacing"/>
        <w:jc w:val="both"/>
        <w:rPr>
          <w:rFonts w:ascii="Cambria" w:hAnsi="Cambria" w:cs="Times New Roman"/>
        </w:rPr>
      </w:pPr>
      <w:r w:rsidRPr="00C75D9B">
        <w:rPr>
          <w:rFonts w:ascii="Cambria" w:hAnsi="Cambria" w:cs="Times New Roman"/>
        </w:rPr>
        <w:t>Prema Zakonu o profesionalnoj rehabilitaciji i zapošljavanju lica sa invaliditetom</w:t>
      </w:r>
      <w:r w:rsidRPr="00C75D9B">
        <w:rPr>
          <w:rStyle w:val="FootnoteReference"/>
          <w:rFonts w:ascii="Cambria" w:hAnsi="Cambria" w:cs="Times New Roman"/>
        </w:rPr>
        <w:footnoteReference w:id="17"/>
      </w:r>
      <w:r w:rsidRPr="00C75D9B">
        <w:rPr>
          <w:rFonts w:ascii="Cambria" w:hAnsi="Cambria" w:cs="Times New Roman"/>
        </w:rPr>
        <w:t>, u Zavodu za zapošljavanje Crne Gore organizovan je Fond za profesionalnu rehabilitaciju i zapošljavanje lica sa invaliditetom. Fond se finansira iz sredstava koja su obezbijeđena iz posebnog doprinosa, koji uplaćuju poslodavci koji nijesu ispunili propisanu kvotu pri zapošljavanju lica sa invaliditetom. Sredstva Fonda, shodno Zakonu mogu se koristiti za: mjere i aktivnosti profesionalne rehabilitacije za nezaposlena i zaposlena lica sa invaliditetom, sufinansiranje posebnih organizacija za zapošljavanje, programe aktivne politike zapošljavanja u kojima učestvuju lica sa invaliditetom, subvencije, finansiranje grant šema i novčane pomoći za učesnike u mjerama profesionalne rehabilitacije</w:t>
      </w:r>
      <w:r w:rsidRPr="00C75D9B">
        <w:rPr>
          <w:rStyle w:val="FootnoteReference"/>
          <w:rFonts w:ascii="Cambria" w:hAnsi="Cambria" w:cs="Times New Roman"/>
        </w:rPr>
        <w:footnoteReference w:id="18"/>
      </w:r>
      <w:r w:rsidRPr="00C75D9B">
        <w:rPr>
          <w:rFonts w:ascii="Cambria" w:hAnsi="Cambria" w:cs="Times New Roman"/>
        </w:rPr>
        <w:t xml:space="preserve">.  Tokom 2019. godine u </w:t>
      </w:r>
      <w:r w:rsidR="00CC1972">
        <w:rPr>
          <w:rFonts w:ascii="Cambria" w:hAnsi="Cambria" w:cs="Times New Roman"/>
        </w:rPr>
        <w:t>Podgorici</w:t>
      </w:r>
      <w:r w:rsidRPr="00C75D9B">
        <w:rPr>
          <w:rFonts w:ascii="Cambria" w:hAnsi="Cambria" w:cs="Times New Roman"/>
        </w:rPr>
        <w:t xml:space="preserve"> </w:t>
      </w:r>
      <w:r w:rsidR="00B25673" w:rsidRPr="00C75D9B">
        <w:rPr>
          <w:rFonts w:ascii="Cambria" w:hAnsi="Cambria" w:cs="Times New Roman"/>
        </w:rPr>
        <w:t xml:space="preserve">je u mjere profesionalne rehabilitacije </w:t>
      </w:r>
      <w:r w:rsidRPr="00C75D9B">
        <w:rPr>
          <w:rFonts w:ascii="Cambria" w:hAnsi="Cambria" w:cs="Times New Roman"/>
        </w:rPr>
        <w:t xml:space="preserve">bilo uključeno </w:t>
      </w:r>
      <w:r w:rsidR="00316033">
        <w:rPr>
          <w:rFonts w:ascii="Cambria" w:hAnsi="Cambria" w:cs="Times New Roman"/>
        </w:rPr>
        <w:t>80</w:t>
      </w:r>
      <w:r>
        <w:rPr>
          <w:rFonts w:ascii="Cambria" w:hAnsi="Cambria" w:cs="Times New Roman"/>
        </w:rPr>
        <w:t xml:space="preserve"> lica</w:t>
      </w:r>
      <w:r w:rsidRPr="00C75D9B">
        <w:rPr>
          <w:rFonts w:ascii="Cambria" w:hAnsi="Cambria" w:cs="Times New Roman"/>
        </w:rPr>
        <w:t xml:space="preserve"> sa invaliditetom</w:t>
      </w:r>
      <w:r w:rsidR="00477BEB">
        <w:rPr>
          <w:rFonts w:ascii="Cambria" w:hAnsi="Cambria" w:cs="Times New Roman"/>
        </w:rPr>
        <w:t>.</w:t>
      </w:r>
    </w:p>
    <w:p w:rsidR="00EC2702" w:rsidRDefault="00EC2702" w:rsidP="005526BB">
      <w:pPr>
        <w:pStyle w:val="NoSpacing"/>
        <w:jc w:val="both"/>
        <w:rPr>
          <w:rFonts w:ascii="Cambria" w:hAnsi="Cambria" w:cs="Times New Roman"/>
        </w:rPr>
      </w:pPr>
    </w:p>
    <w:p w:rsidR="00501746" w:rsidRPr="00385224" w:rsidRDefault="00EC2702" w:rsidP="005526BB">
      <w:pPr>
        <w:pStyle w:val="Heading3"/>
        <w:spacing w:before="0"/>
      </w:pPr>
      <w:r w:rsidRPr="00385224">
        <w:t>3.3.</w:t>
      </w:r>
      <w:r w:rsidR="00FC2D96" w:rsidRPr="00385224">
        <w:t>4</w:t>
      </w:r>
      <w:r w:rsidRPr="00385224">
        <w:t xml:space="preserve"> </w:t>
      </w:r>
      <w:r w:rsidR="00501746" w:rsidRPr="00385224">
        <w:t>Program stručnog osposobljavanja lica sa stečenim visokim obrazovanjem</w:t>
      </w:r>
    </w:p>
    <w:p w:rsidR="00CA1329" w:rsidRDefault="00CA1329" w:rsidP="005526BB">
      <w:pPr>
        <w:jc w:val="both"/>
        <w:rPr>
          <w:rFonts w:cs="Arial"/>
          <w:color w:val="000000" w:themeColor="text1"/>
          <w:sz w:val="22"/>
          <w:szCs w:val="22"/>
        </w:rPr>
      </w:pPr>
    </w:p>
    <w:p w:rsidR="00827A5C" w:rsidRDefault="00827A5C" w:rsidP="005526BB">
      <w:pPr>
        <w:jc w:val="both"/>
        <w:rPr>
          <w:sz w:val="22"/>
          <w:szCs w:val="22"/>
        </w:rPr>
      </w:pPr>
      <w:r w:rsidRPr="00843DE1">
        <w:rPr>
          <w:rFonts w:cs="Arial"/>
          <w:color w:val="000000" w:themeColor="text1"/>
          <w:sz w:val="22"/>
          <w:szCs w:val="22"/>
        </w:rPr>
        <w:t xml:space="preserve">U periodu od 2016. do 2019. broj </w:t>
      </w:r>
      <w:r w:rsidRPr="00843DE1">
        <w:rPr>
          <w:sz w:val="22"/>
          <w:szCs w:val="22"/>
        </w:rPr>
        <w:t xml:space="preserve">uključenih visokoškolaca u Program stručnog osposobljavanja lica sa stečenim visokim obrazovanjem je varirao. Nakon pada broja uključenih visokoškolaca u 2018. </w:t>
      </w:r>
      <w:r w:rsidR="00843DE1" w:rsidRPr="00843DE1">
        <w:rPr>
          <w:sz w:val="22"/>
          <w:szCs w:val="22"/>
        </w:rPr>
        <w:t>u odnosu na 2016. godinu sa 1</w:t>
      </w:r>
      <w:r w:rsidR="009C6904">
        <w:rPr>
          <w:sz w:val="22"/>
          <w:szCs w:val="22"/>
        </w:rPr>
        <w:t>.</w:t>
      </w:r>
      <w:r w:rsidR="00843DE1" w:rsidRPr="00843DE1">
        <w:rPr>
          <w:sz w:val="22"/>
          <w:szCs w:val="22"/>
        </w:rPr>
        <w:t>431 na 1</w:t>
      </w:r>
      <w:r w:rsidR="009C6904">
        <w:rPr>
          <w:sz w:val="22"/>
          <w:szCs w:val="22"/>
        </w:rPr>
        <w:t>.</w:t>
      </w:r>
      <w:r w:rsidR="00843DE1" w:rsidRPr="00843DE1">
        <w:rPr>
          <w:sz w:val="22"/>
          <w:szCs w:val="22"/>
        </w:rPr>
        <w:t>342 ili 6,2%</w:t>
      </w:r>
      <w:r w:rsidRPr="00843DE1">
        <w:rPr>
          <w:sz w:val="22"/>
          <w:szCs w:val="22"/>
        </w:rPr>
        <w:t xml:space="preserve">, u 2019. godini je broj korisnika ovog Programa </w:t>
      </w:r>
      <w:r w:rsidR="00843DE1" w:rsidRPr="00843DE1">
        <w:rPr>
          <w:sz w:val="22"/>
          <w:szCs w:val="22"/>
        </w:rPr>
        <w:t>iznosio 1</w:t>
      </w:r>
      <w:r w:rsidR="009C6904">
        <w:rPr>
          <w:sz w:val="22"/>
          <w:szCs w:val="22"/>
        </w:rPr>
        <w:t>.</w:t>
      </w:r>
      <w:r w:rsidR="00843DE1" w:rsidRPr="00843DE1">
        <w:rPr>
          <w:sz w:val="22"/>
          <w:szCs w:val="22"/>
        </w:rPr>
        <w:t>551 što je za</w:t>
      </w:r>
      <w:r w:rsidRPr="00843DE1">
        <w:rPr>
          <w:sz w:val="22"/>
          <w:szCs w:val="22"/>
        </w:rPr>
        <w:t xml:space="preserve"> 15,6% </w:t>
      </w:r>
      <w:r w:rsidR="00843DE1" w:rsidRPr="00843DE1">
        <w:rPr>
          <w:sz w:val="22"/>
          <w:szCs w:val="22"/>
        </w:rPr>
        <w:t xml:space="preserve">više </w:t>
      </w:r>
      <w:r w:rsidRPr="00843DE1">
        <w:rPr>
          <w:sz w:val="22"/>
          <w:szCs w:val="22"/>
        </w:rPr>
        <w:t>u odnosu na 2018. godinu.</w:t>
      </w:r>
      <w:r>
        <w:rPr>
          <w:sz w:val="22"/>
          <w:szCs w:val="22"/>
        </w:rPr>
        <w:t xml:space="preserve"> </w:t>
      </w:r>
    </w:p>
    <w:p w:rsidR="00827A5C" w:rsidRDefault="00827A5C" w:rsidP="005526BB">
      <w:pPr>
        <w:jc w:val="both"/>
        <w:rPr>
          <w:rFonts w:cs="Arial"/>
          <w:color w:val="000000" w:themeColor="text1"/>
          <w:sz w:val="22"/>
          <w:szCs w:val="22"/>
        </w:rPr>
      </w:pPr>
    </w:p>
    <w:p w:rsidR="00D62334" w:rsidRDefault="00D62334" w:rsidP="005526BB">
      <w:pPr>
        <w:jc w:val="both"/>
        <w:rPr>
          <w:rFonts w:cs="Arial"/>
          <w:color w:val="000000" w:themeColor="text1"/>
          <w:szCs w:val="20"/>
        </w:rPr>
      </w:pPr>
      <w:r w:rsidRPr="00EE4632">
        <w:rPr>
          <w:rFonts w:cs="Arial"/>
          <w:color w:val="000000" w:themeColor="text1"/>
          <w:szCs w:val="20"/>
        </w:rPr>
        <w:t>Grafik</w:t>
      </w:r>
      <w:r w:rsidR="00595AD8">
        <w:rPr>
          <w:rFonts w:cs="Arial"/>
          <w:color w:val="000000" w:themeColor="text1"/>
          <w:szCs w:val="20"/>
        </w:rPr>
        <w:t xml:space="preserve"> 10</w:t>
      </w:r>
      <w:r w:rsidRPr="00EE4632">
        <w:rPr>
          <w:rFonts w:cs="Arial"/>
          <w:color w:val="000000" w:themeColor="text1"/>
          <w:szCs w:val="20"/>
        </w:rPr>
        <w:t>: Stručno osposobljavanje lica sa stečenim visokim obrazovanjem</w:t>
      </w:r>
      <w:r w:rsidR="00E056FB">
        <w:rPr>
          <w:rFonts w:cs="Arial"/>
          <w:color w:val="000000" w:themeColor="text1"/>
          <w:szCs w:val="20"/>
        </w:rPr>
        <w:t>, Podgorica</w:t>
      </w:r>
    </w:p>
    <w:p w:rsidR="00D2254D" w:rsidRDefault="00D2254D" w:rsidP="005526BB">
      <w:pPr>
        <w:jc w:val="both"/>
        <w:rPr>
          <w:rFonts w:cs="Arial"/>
          <w:color w:val="000000" w:themeColor="text1"/>
          <w:szCs w:val="20"/>
        </w:rPr>
      </w:pPr>
    </w:p>
    <w:p w:rsidR="00122FBD" w:rsidRPr="00EE4632" w:rsidRDefault="00C7285E" w:rsidP="005526BB">
      <w:pPr>
        <w:jc w:val="center"/>
        <w:rPr>
          <w:rFonts w:cs="Arial"/>
          <w:color w:val="000000" w:themeColor="text1"/>
          <w:szCs w:val="20"/>
        </w:rPr>
      </w:pPr>
      <w:r>
        <w:rPr>
          <w:rFonts w:cs="Arial"/>
          <w:noProof/>
          <w:color w:val="000000" w:themeColor="text1"/>
          <w:szCs w:val="20"/>
          <w:lang w:val="en-US"/>
        </w:rPr>
        <w:lastRenderedPageBreak/>
        <w:drawing>
          <wp:inline distT="0" distB="0" distL="0" distR="0">
            <wp:extent cx="4393565" cy="1371505"/>
            <wp:effectExtent l="0" t="0" r="6985"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8658" cy="1379338"/>
                    </a:xfrm>
                    <a:prstGeom prst="rect">
                      <a:avLst/>
                    </a:prstGeom>
                    <a:noFill/>
                  </pic:spPr>
                </pic:pic>
              </a:graphicData>
            </a:graphic>
          </wp:inline>
        </w:drawing>
      </w:r>
    </w:p>
    <w:p w:rsidR="00462F46" w:rsidRPr="003E247B" w:rsidRDefault="00595AD8" w:rsidP="005526BB">
      <w:pPr>
        <w:jc w:val="right"/>
        <w:rPr>
          <w:i/>
          <w:iCs/>
          <w:noProof/>
          <w:sz w:val="18"/>
        </w:rPr>
      </w:pPr>
      <w:r w:rsidRPr="003E247B">
        <w:rPr>
          <w:i/>
          <w:iCs/>
          <w:color w:val="000000" w:themeColor="text1"/>
          <w:sz w:val="18"/>
        </w:rPr>
        <w:t>Izvor: Zavod za zapošljavanje Crne Gore</w:t>
      </w:r>
    </w:p>
    <w:p w:rsidR="007F2200" w:rsidRDefault="007F2200" w:rsidP="005526BB">
      <w:pPr>
        <w:jc w:val="both"/>
        <w:rPr>
          <w:rFonts w:cs="Arial"/>
          <w:color w:val="000000" w:themeColor="text1"/>
          <w:sz w:val="22"/>
          <w:szCs w:val="22"/>
        </w:rPr>
      </w:pPr>
      <w:bookmarkStart w:id="54" w:name="_Toc44873765"/>
      <w:bookmarkStart w:id="55" w:name="_Toc52644731"/>
      <w:bookmarkStart w:id="56" w:name="_Toc52951745"/>
      <w:bookmarkStart w:id="57" w:name="_Toc58581876"/>
    </w:p>
    <w:p w:rsidR="00827A5C" w:rsidRPr="006A529A" w:rsidRDefault="00827A5C" w:rsidP="005526BB">
      <w:pPr>
        <w:jc w:val="both"/>
        <w:rPr>
          <w:rFonts w:cs="Arial"/>
          <w:color w:val="000000" w:themeColor="text1"/>
          <w:sz w:val="22"/>
          <w:szCs w:val="22"/>
        </w:rPr>
      </w:pPr>
      <w:r w:rsidRPr="006A529A">
        <w:rPr>
          <w:rFonts w:cs="Arial"/>
          <w:color w:val="000000" w:themeColor="text1"/>
          <w:sz w:val="22"/>
          <w:szCs w:val="22"/>
        </w:rPr>
        <w:t>Sa stanovišta strukture zaposlenja, tokom posljednj</w:t>
      </w:r>
      <w:r>
        <w:rPr>
          <w:rFonts w:cs="Arial"/>
          <w:color w:val="000000" w:themeColor="text1"/>
          <w:sz w:val="22"/>
          <w:szCs w:val="22"/>
        </w:rPr>
        <w:t xml:space="preserve">ih godina </w:t>
      </w:r>
      <w:r w:rsidRPr="006A529A">
        <w:rPr>
          <w:rFonts w:cs="Arial"/>
          <w:color w:val="000000" w:themeColor="text1"/>
          <w:sz w:val="22"/>
          <w:szCs w:val="22"/>
        </w:rPr>
        <w:t>veći procenat visokoškolaca je na</w:t>
      </w:r>
      <w:r>
        <w:rPr>
          <w:rFonts w:cs="Arial"/>
          <w:color w:val="000000" w:themeColor="text1"/>
          <w:sz w:val="22"/>
          <w:szCs w:val="22"/>
        </w:rPr>
        <w:t>š</w:t>
      </w:r>
      <w:r w:rsidRPr="006A529A">
        <w:rPr>
          <w:rFonts w:cs="Arial"/>
          <w:color w:val="000000" w:themeColor="text1"/>
          <w:sz w:val="22"/>
          <w:szCs w:val="22"/>
        </w:rPr>
        <w:t xml:space="preserve">ao zaposlenje na period od devet mjeseci u </w:t>
      </w:r>
      <w:r>
        <w:rPr>
          <w:rFonts w:cs="Arial"/>
          <w:color w:val="000000" w:themeColor="text1"/>
          <w:sz w:val="22"/>
          <w:szCs w:val="22"/>
        </w:rPr>
        <w:t>privatnom u odnosu na javni sektor (u 2018. je 60,6%, a u 2019. je 57,3</w:t>
      </w:r>
      <w:r w:rsidRPr="006A529A">
        <w:rPr>
          <w:rFonts w:cs="Arial"/>
          <w:color w:val="000000" w:themeColor="text1"/>
          <w:sz w:val="22"/>
          <w:szCs w:val="22"/>
        </w:rPr>
        <w:t xml:space="preserve">% visokoškolaca bilo zaposleno u </w:t>
      </w:r>
      <w:r>
        <w:rPr>
          <w:rFonts w:cs="Arial"/>
          <w:color w:val="000000" w:themeColor="text1"/>
          <w:sz w:val="22"/>
          <w:szCs w:val="22"/>
        </w:rPr>
        <w:t>privatnom</w:t>
      </w:r>
      <w:r w:rsidRPr="006A529A">
        <w:rPr>
          <w:rFonts w:cs="Arial"/>
          <w:color w:val="000000" w:themeColor="text1"/>
          <w:sz w:val="22"/>
          <w:szCs w:val="22"/>
        </w:rPr>
        <w:t xml:space="preserve"> sektoru). </w:t>
      </w:r>
    </w:p>
    <w:p w:rsidR="005526BB" w:rsidRDefault="005526BB" w:rsidP="00FC2D96"/>
    <w:p w:rsidR="009C7E4E" w:rsidRPr="00EE4632" w:rsidRDefault="009C7E4E" w:rsidP="005526BB">
      <w:pPr>
        <w:pStyle w:val="Heading2"/>
        <w:spacing w:before="0"/>
        <w:rPr>
          <w:rFonts w:cs="Arial"/>
        </w:rPr>
      </w:pPr>
      <w:bookmarkStart w:id="58" w:name="_Toc61289783"/>
      <w:bookmarkStart w:id="59" w:name="_Toc63099498"/>
      <w:r w:rsidRPr="00EE4632">
        <w:rPr>
          <w:rFonts w:cs="Arial"/>
        </w:rPr>
        <w:t>3.4 Tražnja radne snage</w:t>
      </w:r>
      <w:bookmarkEnd w:id="54"/>
      <w:bookmarkEnd w:id="55"/>
      <w:bookmarkEnd w:id="56"/>
      <w:bookmarkEnd w:id="57"/>
      <w:bookmarkEnd w:id="58"/>
      <w:bookmarkEnd w:id="59"/>
    </w:p>
    <w:p w:rsidR="009C7E4E" w:rsidRPr="00E05A57" w:rsidRDefault="009C7E4E" w:rsidP="005526BB">
      <w:pPr>
        <w:jc w:val="both"/>
        <w:rPr>
          <w:rFonts w:cs="Arial"/>
          <w:color w:val="000000" w:themeColor="text1"/>
          <w:sz w:val="22"/>
          <w:szCs w:val="22"/>
          <w:lang w:val="en-US"/>
        </w:rPr>
      </w:pPr>
    </w:p>
    <w:p w:rsidR="00385224" w:rsidRDefault="00385224" w:rsidP="00385224">
      <w:pPr>
        <w:pStyle w:val="Heading3"/>
      </w:pPr>
      <w:r>
        <w:t>3.4.1 Slobodna radna mjesta</w:t>
      </w:r>
    </w:p>
    <w:p w:rsidR="00385224" w:rsidRDefault="00385224" w:rsidP="005526BB">
      <w:pPr>
        <w:jc w:val="both"/>
        <w:rPr>
          <w:rFonts w:cs="Arial"/>
          <w:color w:val="000000" w:themeColor="text1"/>
          <w:sz w:val="22"/>
          <w:szCs w:val="22"/>
        </w:rPr>
      </w:pPr>
    </w:p>
    <w:p w:rsidR="007F2200" w:rsidRDefault="00A132D8" w:rsidP="005526BB">
      <w:pPr>
        <w:jc w:val="both"/>
        <w:rPr>
          <w:rFonts w:cs="Arial"/>
          <w:color w:val="000000" w:themeColor="text1"/>
          <w:sz w:val="22"/>
          <w:szCs w:val="22"/>
        </w:rPr>
      </w:pPr>
      <w:r w:rsidRPr="00120152">
        <w:rPr>
          <w:rFonts w:cs="Arial"/>
          <w:color w:val="000000" w:themeColor="text1"/>
          <w:sz w:val="22"/>
          <w:szCs w:val="22"/>
        </w:rPr>
        <w:t>Tražnja radne snage najčešće se posmatra kroz prijavu slobodnih radnih mjesta na Birou rada u određenom periodu i zapošljavanja iz evidencije Biroa rada. Broj oglašenih slobodnih radnih mjesta na teritoriji Glavnog grada je u 2019</w:t>
      </w:r>
      <w:r w:rsidR="00B15997">
        <w:rPr>
          <w:rFonts w:cs="Arial"/>
          <w:color w:val="000000" w:themeColor="text1"/>
          <w:sz w:val="22"/>
          <w:szCs w:val="22"/>
        </w:rPr>
        <w:t>.</w:t>
      </w:r>
      <w:r w:rsidRPr="00120152">
        <w:rPr>
          <w:rFonts w:cs="Arial"/>
          <w:color w:val="000000" w:themeColor="text1"/>
          <w:sz w:val="22"/>
          <w:szCs w:val="22"/>
        </w:rPr>
        <w:t xml:space="preserve"> godini iznosio 7</w:t>
      </w:r>
      <w:r w:rsidR="00B15997">
        <w:rPr>
          <w:rFonts w:cs="Arial"/>
          <w:color w:val="000000" w:themeColor="text1"/>
          <w:sz w:val="22"/>
          <w:szCs w:val="22"/>
        </w:rPr>
        <w:t>.</w:t>
      </w:r>
      <w:r w:rsidRPr="00120152">
        <w:rPr>
          <w:rFonts w:cs="Arial"/>
          <w:color w:val="000000" w:themeColor="text1"/>
          <w:sz w:val="22"/>
          <w:szCs w:val="22"/>
        </w:rPr>
        <w:t>994, što je značajno više u odnosu na prethodnu godinu, kada je taj broj iznosio 6</w:t>
      </w:r>
      <w:r w:rsidR="009C6904">
        <w:rPr>
          <w:rFonts w:cs="Arial"/>
          <w:color w:val="000000" w:themeColor="text1"/>
          <w:sz w:val="22"/>
          <w:szCs w:val="22"/>
        </w:rPr>
        <w:t>.</w:t>
      </w:r>
      <w:r w:rsidRPr="00120152">
        <w:rPr>
          <w:rFonts w:cs="Arial"/>
          <w:color w:val="000000" w:themeColor="text1"/>
          <w:sz w:val="22"/>
          <w:szCs w:val="22"/>
        </w:rPr>
        <w:t>399. Taj rast broja oglašenih radnih mjesta od skoro 25% upućuje na intenzivniju privrednu aktivnost na teritoriji Glavnog grada. Ovaj rast je intenzivniji od rasta broja slobodnih radnih mjesta na nivou Crne Gore</w:t>
      </w:r>
      <w:r w:rsidR="00D2254D">
        <w:rPr>
          <w:rFonts w:cs="Arial"/>
          <w:color w:val="000000" w:themeColor="text1"/>
          <w:sz w:val="22"/>
          <w:szCs w:val="22"/>
        </w:rPr>
        <w:t>. U</w:t>
      </w:r>
      <w:r w:rsidRPr="00120152">
        <w:rPr>
          <w:rFonts w:cs="Arial"/>
          <w:color w:val="000000" w:themeColor="text1"/>
          <w:sz w:val="22"/>
          <w:szCs w:val="22"/>
        </w:rPr>
        <w:t xml:space="preserve"> 2019. godini zabilježeno </w:t>
      </w:r>
      <w:r w:rsidR="00D2254D">
        <w:rPr>
          <w:rFonts w:cs="Arial"/>
          <w:color w:val="000000" w:themeColor="text1"/>
          <w:sz w:val="22"/>
          <w:szCs w:val="22"/>
        </w:rPr>
        <w:t xml:space="preserve">je </w:t>
      </w:r>
      <w:r w:rsidRPr="00120152">
        <w:rPr>
          <w:rFonts w:cs="Arial"/>
          <w:color w:val="000000" w:themeColor="text1"/>
          <w:sz w:val="22"/>
          <w:szCs w:val="22"/>
        </w:rPr>
        <w:t xml:space="preserve">povećanje slobodnih radnih mjesta za 10,14% u odnosu na 2018. godinu. </w:t>
      </w:r>
    </w:p>
    <w:p w:rsidR="007F2200" w:rsidRDefault="007F2200" w:rsidP="005526BB">
      <w:pPr>
        <w:jc w:val="both"/>
        <w:rPr>
          <w:rFonts w:cs="Arial"/>
          <w:color w:val="000000" w:themeColor="text1"/>
          <w:sz w:val="22"/>
          <w:szCs w:val="22"/>
        </w:rPr>
      </w:pPr>
    </w:p>
    <w:p w:rsidR="00A132D8" w:rsidRPr="00120152" w:rsidRDefault="00A132D8" w:rsidP="005526BB">
      <w:pPr>
        <w:jc w:val="both"/>
        <w:rPr>
          <w:rFonts w:cs="Arial"/>
          <w:color w:val="000000" w:themeColor="text1"/>
          <w:sz w:val="22"/>
          <w:szCs w:val="22"/>
        </w:rPr>
      </w:pPr>
      <w:r w:rsidRPr="00120152">
        <w:rPr>
          <w:rFonts w:cs="Arial"/>
          <w:color w:val="000000" w:themeColor="text1"/>
          <w:sz w:val="22"/>
          <w:szCs w:val="22"/>
        </w:rPr>
        <w:t>Dakle, Podgoricu karakteriše relativno visoka tražnja za radnom snagom, što je prije svega uslovljeno ubrzanim privrednim rastom.</w:t>
      </w:r>
    </w:p>
    <w:p w:rsidR="00A132D8" w:rsidRPr="00120152" w:rsidRDefault="00A132D8" w:rsidP="005526BB">
      <w:pPr>
        <w:rPr>
          <w:rFonts w:cs="Arial"/>
          <w:color w:val="000000" w:themeColor="text1"/>
          <w:szCs w:val="20"/>
          <w:lang w:val="bs-Latn-BA"/>
        </w:rPr>
      </w:pPr>
    </w:p>
    <w:p w:rsidR="00A132D8" w:rsidRPr="00120152" w:rsidRDefault="00A132D8" w:rsidP="005526BB">
      <w:pPr>
        <w:rPr>
          <w:rFonts w:cs="Arial"/>
          <w:color w:val="000000" w:themeColor="text1"/>
          <w:szCs w:val="20"/>
          <w:lang w:val="bs-Latn-BA"/>
        </w:rPr>
      </w:pPr>
      <w:r w:rsidRPr="00120152">
        <w:rPr>
          <w:rFonts w:cs="Arial"/>
          <w:color w:val="000000" w:themeColor="text1"/>
          <w:szCs w:val="20"/>
          <w:lang w:val="bs-Latn-BA"/>
        </w:rPr>
        <w:t>Tabela 18: Slobodna radna mjesta 2018 i 2019</w:t>
      </w:r>
      <w:r w:rsidR="006A4215">
        <w:rPr>
          <w:rFonts w:cs="Arial"/>
          <w:color w:val="000000" w:themeColor="text1"/>
          <w:szCs w:val="20"/>
          <w:lang w:val="bs-Latn-BA"/>
        </w:rPr>
        <w:t>.</w:t>
      </w:r>
      <w:r w:rsidR="00E056FB" w:rsidRPr="00E056FB">
        <w:rPr>
          <w:rFonts w:eastAsia="Cambria" w:cs="Arial"/>
          <w:color w:val="000000" w:themeColor="text1"/>
          <w:kern w:val="24"/>
          <w:szCs w:val="20"/>
        </w:rPr>
        <w:t xml:space="preserve"> </w:t>
      </w:r>
      <w:r w:rsidR="00E056FB" w:rsidRPr="006B71DC">
        <w:rPr>
          <w:rFonts w:eastAsia="Cambria" w:cs="Arial"/>
          <w:color w:val="000000" w:themeColor="text1"/>
          <w:kern w:val="24"/>
          <w:szCs w:val="20"/>
        </w:rPr>
        <w:t xml:space="preserve">(Biro rada Podgorica </w:t>
      </w:r>
      <w:r w:rsidR="00E056FB">
        <w:rPr>
          <w:rFonts w:eastAsia="Cambria" w:cs="Arial"/>
          <w:color w:val="000000" w:themeColor="text1"/>
          <w:kern w:val="24"/>
          <w:szCs w:val="20"/>
        </w:rPr>
        <w:t>i</w:t>
      </w:r>
      <w:r w:rsidR="00E056FB" w:rsidRPr="006B71DC">
        <w:rPr>
          <w:rFonts w:eastAsia="Cambria" w:cs="Arial"/>
          <w:color w:val="000000" w:themeColor="text1"/>
          <w:kern w:val="24"/>
          <w:szCs w:val="20"/>
        </w:rPr>
        <w:t xml:space="preserve"> Biro rada Golubovci)</w:t>
      </w:r>
    </w:p>
    <w:p w:rsidR="00A132D8" w:rsidRPr="00120152" w:rsidRDefault="00A132D8" w:rsidP="005526BB">
      <w:pPr>
        <w:jc w:val="both"/>
        <w:rPr>
          <w:rFonts w:cs="Arial"/>
          <w:color w:val="000000" w:themeColor="text1"/>
          <w:sz w:val="22"/>
          <w:szCs w:val="22"/>
          <w:lang w:val="bs-Latn-BA"/>
        </w:rPr>
      </w:pPr>
    </w:p>
    <w:tbl>
      <w:tblPr>
        <w:tblStyle w:val="PlainTable21"/>
        <w:tblW w:w="5000" w:type="pct"/>
        <w:tblBorders>
          <w:insideH w:val="single" w:sz="4" w:space="0" w:color="auto"/>
        </w:tblBorders>
        <w:tblLook w:val="0600"/>
      </w:tblPr>
      <w:tblGrid>
        <w:gridCol w:w="2365"/>
        <w:gridCol w:w="2578"/>
        <w:gridCol w:w="2067"/>
        <w:gridCol w:w="2447"/>
      </w:tblGrid>
      <w:tr w:rsidR="00A132D8" w:rsidRPr="00120152" w:rsidTr="00AA426D">
        <w:trPr>
          <w:trHeight w:val="266"/>
        </w:trPr>
        <w:tc>
          <w:tcPr>
            <w:tcW w:w="1250" w:type="pct"/>
            <w:vMerge w:val="restart"/>
            <w:tcBorders>
              <w:top w:val="single" w:sz="4" w:space="0" w:color="D9D9D9" w:themeColor="background1" w:themeShade="D9"/>
            </w:tcBorders>
            <w:shd w:val="clear" w:color="auto" w:fill="FFD966" w:themeFill="accent4" w:themeFillTint="99"/>
            <w:hideMark/>
          </w:tcPr>
          <w:p w:rsidR="00A132D8" w:rsidRPr="00120152" w:rsidRDefault="00A132D8" w:rsidP="005526BB">
            <w:pPr>
              <w:jc w:val="both"/>
              <w:rPr>
                <w:rFonts w:cs="Arial"/>
                <w:color w:val="000000" w:themeColor="text1"/>
                <w:szCs w:val="20"/>
                <w:lang w:val="bs-Latn-BA"/>
              </w:rPr>
            </w:pPr>
          </w:p>
        </w:tc>
        <w:tc>
          <w:tcPr>
            <w:tcW w:w="2455" w:type="pct"/>
            <w:gridSpan w:val="2"/>
            <w:tcBorders>
              <w:top w:val="single" w:sz="4" w:space="0" w:color="D9D9D9" w:themeColor="background1" w:themeShade="D9"/>
              <w:bottom w:val="nil"/>
            </w:tcBorders>
            <w:shd w:val="clear" w:color="auto" w:fill="FFD966" w:themeFill="accent4" w:themeFillTint="99"/>
            <w:hideMark/>
          </w:tcPr>
          <w:p w:rsidR="00A132D8" w:rsidRPr="00120152" w:rsidRDefault="00A132D8" w:rsidP="005526BB">
            <w:pPr>
              <w:jc w:val="center"/>
              <w:rPr>
                <w:rFonts w:cs="Arial"/>
                <w:color w:val="000000" w:themeColor="text1"/>
                <w:sz w:val="18"/>
                <w:lang w:val="bs-Latn-BA"/>
              </w:rPr>
            </w:pPr>
            <w:r w:rsidRPr="00120152">
              <w:rPr>
                <w:rFonts w:cs="Arial"/>
                <w:color w:val="000000" w:themeColor="text1"/>
                <w:sz w:val="18"/>
                <w:lang w:val="bs-Latn-BA"/>
              </w:rPr>
              <w:t>SLOBODNA RADNA MJESTA</w:t>
            </w:r>
          </w:p>
        </w:tc>
        <w:tc>
          <w:tcPr>
            <w:tcW w:w="1294" w:type="pct"/>
            <w:vMerge w:val="restart"/>
            <w:tcBorders>
              <w:top w:val="single" w:sz="4" w:space="0" w:color="D9D9D9" w:themeColor="background1" w:themeShade="D9"/>
            </w:tcBorders>
            <w:shd w:val="clear" w:color="auto" w:fill="FFD966" w:themeFill="accent4" w:themeFillTint="99"/>
            <w:hideMark/>
          </w:tcPr>
          <w:p w:rsidR="00A132D8" w:rsidRPr="00120152" w:rsidRDefault="00A132D8" w:rsidP="005526BB">
            <w:pPr>
              <w:jc w:val="center"/>
              <w:rPr>
                <w:rFonts w:cs="Arial"/>
                <w:color w:val="000000" w:themeColor="text1"/>
                <w:sz w:val="18"/>
                <w:lang w:val="bs-Latn-BA"/>
              </w:rPr>
            </w:pPr>
            <w:r w:rsidRPr="00120152">
              <w:rPr>
                <w:rFonts w:cs="Arial"/>
                <w:color w:val="000000" w:themeColor="text1"/>
                <w:sz w:val="18"/>
                <w:lang w:val="bs-Latn-BA"/>
              </w:rPr>
              <w:t>Indeks</w:t>
            </w:r>
          </w:p>
          <w:p w:rsidR="00A132D8" w:rsidRPr="00120152" w:rsidRDefault="00A132D8" w:rsidP="005526BB">
            <w:pPr>
              <w:jc w:val="center"/>
              <w:rPr>
                <w:rFonts w:cs="Arial"/>
                <w:color w:val="000000" w:themeColor="text1"/>
                <w:sz w:val="18"/>
                <w:lang w:val="bs-Latn-BA"/>
              </w:rPr>
            </w:pPr>
            <w:r w:rsidRPr="00120152">
              <w:rPr>
                <w:rFonts w:cs="Arial"/>
                <w:color w:val="000000" w:themeColor="text1"/>
                <w:sz w:val="18"/>
                <w:lang w:val="bs-Latn-BA"/>
              </w:rPr>
              <w:t>2019:2018</w:t>
            </w:r>
          </w:p>
        </w:tc>
      </w:tr>
      <w:tr w:rsidR="00A132D8" w:rsidRPr="00120152" w:rsidTr="00AA426D">
        <w:trPr>
          <w:trHeight w:val="269"/>
        </w:trPr>
        <w:tc>
          <w:tcPr>
            <w:tcW w:w="1250" w:type="pct"/>
            <w:vMerge/>
            <w:tcBorders>
              <w:bottom w:val="single" w:sz="4" w:space="0" w:color="D9D9D9" w:themeColor="background1" w:themeShade="D9"/>
            </w:tcBorders>
            <w:shd w:val="clear" w:color="auto" w:fill="BFBFBF" w:themeFill="background1" w:themeFillShade="BF"/>
            <w:hideMark/>
          </w:tcPr>
          <w:p w:rsidR="00A132D8" w:rsidRPr="00120152" w:rsidRDefault="00A132D8" w:rsidP="005526BB">
            <w:pPr>
              <w:jc w:val="both"/>
              <w:rPr>
                <w:rFonts w:cs="Arial"/>
                <w:color w:val="000000" w:themeColor="text1"/>
                <w:szCs w:val="20"/>
                <w:lang w:val="bs-Latn-BA"/>
              </w:rPr>
            </w:pPr>
          </w:p>
        </w:tc>
        <w:tc>
          <w:tcPr>
            <w:tcW w:w="1363" w:type="pct"/>
            <w:tcBorders>
              <w:top w:val="nil"/>
              <w:bottom w:val="single" w:sz="4" w:space="0" w:color="D9D9D9" w:themeColor="background1" w:themeShade="D9"/>
            </w:tcBorders>
            <w:shd w:val="clear" w:color="auto" w:fill="FFD966" w:themeFill="accent4" w:themeFillTint="99"/>
            <w:hideMark/>
          </w:tcPr>
          <w:p w:rsidR="00A132D8" w:rsidRPr="00120152" w:rsidRDefault="00A132D8" w:rsidP="005526BB">
            <w:pPr>
              <w:jc w:val="center"/>
              <w:rPr>
                <w:rFonts w:cs="Arial"/>
                <w:color w:val="000000" w:themeColor="text1"/>
                <w:sz w:val="18"/>
                <w:lang w:val="bs-Latn-BA"/>
              </w:rPr>
            </w:pPr>
            <w:r w:rsidRPr="00120152">
              <w:rPr>
                <w:rFonts w:cs="Arial"/>
                <w:color w:val="000000" w:themeColor="text1"/>
                <w:sz w:val="18"/>
                <w:lang w:val="bs-Latn-BA"/>
              </w:rPr>
              <w:t>2018.</w:t>
            </w:r>
          </w:p>
        </w:tc>
        <w:tc>
          <w:tcPr>
            <w:tcW w:w="1093" w:type="pct"/>
            <w:tcBorders>
              <w:top w:val="nil"/>
              <w:bottom w:val="single" w:sz="4" w:space="0" w:color="D9D9D9" w:themeColor="background1" w:themeShade="D9"/>
            </w:tcBorders>
            <w:shd w:val="clear" w:color="auto" w:fill="FFD966" w:themeFill="accent4" w:themeFillTint="99"/>
            <w:hideMark/>
          </w:tcPr>
          <w:p w:rsidR="00A132D8" w:rsidRPr="00120152" w:rsidRDefault="00A132D8" w:rsidP="005526BB">
            <w:pPr>
              <w:jc w:val="center"/>
              <w:rPr>
                <w:rFonts w:cs="Arial"/>
                <w:color w:val="000000" w:themeColor="text1"/>
                <w:sz w:val="18"/>
                <w:lang w:val="bs-Latn-BA"/>
              </w:rPr>
            </w:pPr>
            <w:r w:rsidRPr="00120152">
              <w:rPr>
                <w:rFonts w:cs="Arial"/>
                <w:color w:val="000000" w:themeColor="text1"/>
                <w:sz w:val="18"/>
                <w:lang w:val="bs-Latn-BA"/>
              </w:rPr>
              <w:t>2019.</w:t>
            </w:r>
          </w:p>
        </w:tc>
        <w:tc>
          <w:tcPr>
            <w:tcW w:w="1294" w:type="pct"/>
            <w:vMerge/>
            <w:tcBorders>
              <w:bottom w:val="single" w:sz="4" w:space="0" w:color="D9D9D9" w:themeColor="background1" w:themeShade="D9"/>
            </w:tcBorders>
            <w:hideMark/>
          </w:tcPr>
          <w:p w:rsidR="00A132D8" w:rsidRPr="00120152" w:rsidRDefault="00A132D8" w:rsidP="005526BB">
            <w:pPr>
              <w:jc w:val="center"/>
              <w:rPr>
                <w:rFonts w:cs="Arial"/>
                <w:color w:val="000000" w:themeColor="text1"/>
                <w:sz w:val="18"/>
                <w:lang w:val="bs-Latn-BA"/>
              </w:rPr>
            </w:pPr>
          </w:p>
        </w:tc>
      </w:tr>
      <w:tr w:rsidR="00A132D8" w:rsidRPr="00120152" w:rsidTr="00A132D8">
        <w:trPr>
          <w:trHeight w:val="269"/>
        </w:trPr>
        <w:tc>
          <w:tcPr>
            <w:tcW w:w="1250" w:type="pct"/>
            <w:tcBorders>
              <w:top w:val="single" w:sz="4" w:space="0" w:color="D9D9D9" w:themeColor="background1" w:themeShade="D9"/>
              <w:bottom w:val="single" w:sz="4" w:space="0" w:color="D9D9D9" w:themeColor="background1" w:themeShade="D9"/>
            </w:tcBorders>
            <w:hideMark/>
          </w:tcPr>
          <w:p w:rsidR="00A132D8" w:rsidRPr="00120152" w:rsidRDefault="00A132D8" w:rsidP="005526BB">
            <w:pPr>
              <w:jc w:val="both"/>
              <w:rPr>
                <w:rFonts w:cs="Arial"/>
                <w:color w:val="000000" w:themeColor="text1"/>
                <w:sz w:val="18"/>
                <w:lang w:val="bs-Latn-BA"/>
              </w:rPr>
            </w:pPr>
            <w:r w:rsidRPr="00120152">
              <w:rPr>
                <w:rFonts w:cs="Arial"/>
                <w:color w:val="000000" w:themeColor="text1"/>
                <w:sz w:val="18"/>
                <w:lang w:val="bs-Latn-BA"/>
              </w:rPr>
              <w:t>Podgorica</w:t>
            </w:r>
          </w:p>
        </w:tc>
        <w:tc>
          <w:tcPr>
            <w:tcW w:w="1363" w:type="pct"/>
            <w:tcBorders>
              <w:top w:val="single" w:sz="4" w:space="0" w:color="D9D9D9" w:themeColor="background1" w:themeShade="D9"/>
              <w:bottom w:val="single" w:sz="4" w:space="0" w:color="D9D9D9" w:themeColor="background1" w:themeShade="D9"/>
            </w:tcBorders>
          </w:tcPr>
          <w:p w:rsidR="00A132D8" w:rsidRPr="00120152" w:rsidRDefault="00A132D8" w:rsidP="005526BB">
            <w:pPr>
              <w:jc w:val="center"/>
              <w:rPr>
                <w:rFonts w:cs="Arial"/>
                <w:color w:val="000000" w:themeColor="text1"/>
                <w:sz w:val="18"/>
                <w:lang w:val="bs-Latn-BA"/>
              </w:rPr>
            </w:pPr>
            <w:r w:rsidRPr="00120152">
              <w:rPr>
                <w:rFonts w:cs="Arial"/>
                <w:color w:val="000000" w:themeColor="text1"/>
                <w:sz w:val="18"/>
                <w:lang w:val="bs-Latn-BA"/>
              </w:rPr>
              <w:t>6</w:t>
            </w:r>
            <w:r w:rsidR="004204EF">
              <w:rPr>
                <w:rFonts w:cs="Arial"/>
                <w:color w:val="000000" w:themeColor="text1"/>
                <w:sz w:val="18"/>
                <w:lang w:val="bs-Latn-BA"/>
              </w:rPr>
              <w:t>.</w:t>
            </w:r>
            <w:r w:rsidRPr="00120152">
              <w:rPr>
                <w:rFonts w:cs="Arial"/>
                <w:color w:val="000000" w:themeColor="text1"/>
                <w:sz w:val="18"/>
                <w:lang w:val="bs-Latn-BA"/>
              </w:rPr>
              <w:t>399</w:t>
            </w:r>
          </w:p>
        </w:tc>
        <w:tc>
          <w:tcPr>
            <w:tcW w:w="1093" w:type="pct"/>
            <w:tcBorders>
              <w:top w:val="single" w:sz="4" w:space="0" w:color="D9D9D9" w:themeColor="background1" w:themeShade="D9"/>
              <w:bottom w:val="single" w:sz="4" w:space="0" w:color="D9D9D9" w:themeColor="background1" w:themeShade="D9"/>
            </w:tcBorders>
          </w:tcPr>
          <w:p w:rsidR="00A132D8" w:rsidRPr="00120152" w:rsidRDefault="00A132D8" w:rsidP="005526BB">
            <w:pPr>
              <w:jc w:val="center"/>
              <w:rPr>
                <w:rFonts w:cs="Arial"/>
                <w:color w:val="000000" w:themeColor="text1"/>
                <w:sz w:val="18"/>
                <w:lang w:val="bs-Latn-BA"/>
              </w:rPr>
            </w:pPr>
            <w:r w:rsidRPr="00120152">
              <w:rPr>
                <w:rFonts w:cs="Arial"/>
                <w:color w:val="000000" w:themeColor="text1"/>
                <w:sz w:val="18"/>
                <w:lang w:val="bs-Latn-BA"/>
              </w:rPr>
              <w:t>7</w:t>
            </w:r>
            <w:r w:rsidR="004204EF">
              <w:rPr>
                <w:rFonts w:cs="Arial"/>
                <w:color w:val="000000" w:themeColor="text1"/>
                <w:sz w:val="18"/>
                <w:lang w:val="bs-Latn-BA"/>
              </w:rPr>
              <w:t>.</w:t>
            </w:r>
            <w:r w:rsidRPr="00120152">
              <w:rPr>
                <w:rFonts w:cs="Arial"/>
                <w:color w:val="000000" w:themeColor="text1"/>
                <w:sz w:val="18"/>
                <w:lang w:val="bs-Latn-BA"/>
              </w:rPr>
              <w:t>994</w:t>
            </w:r>
          </w:p>
        </w:tc>
        <w:tc>
          <w:tcPr>
            <w:tcW w:w="1294" w:type="pct"/>
            <w:tcBorders>
              <w:top w:val="single" w:sz="4" w:space="0" w:color="D9D9D9" w:themeColor="background1" w:themeShade="D9"/>
              <w:bottom w:val="single" w:sz="4" w:space="0" w:color="D9D9D9" w:themeColor="background1" w:themeShade="D9"/>
            </w:tcBorders>
          </w:tcPr>
          <w:p w:rsidR="00A132D8" w:rsidRPr="00120152" w:rsidRDefault="00A132D8" w:rsidP="005526BB">
            <w:pPr>
              <w:jc w:val="center"/>
              <w:rPr>
                <w:rFonts w:cs="Arial"/>
                <w:color w:val="000000" w:themeColor="text1"/>
                <w:sz w:val="18"/>
                <w:lang w:val="bs-Latn-BA"/>
              </w:rPr>
            </w:pPr>
            <w:r w:rsidRPr="00120152">
              <w:rPr>
                <w:rFonts w:cs="Arial"/>
                <w:color w:val="000000" w:themeColor="text1"/>
                <w:sz w:val="18"/>
                <w:lang w:val="bs-Latn-BA"/>
              </w:rPr>
              <w:t>124,92</w:t>
            </w:r>
          </w:p>
        </w:tc>
      </w:tr>
      <w:tr w:rsidR="00A132D8" w:rsidRPr="00120152" w:rsidTr="00A132D8">
        <w:trPr>
          <w:trHeight w:val="269"/>
        </w:trPr>
        <w:tc>
          <w:tcPr>
            <w:tcW w:w="1250" w:type="pct"/>
            <w:tcBorders>
              <w:top w:val="single" w:sz="4" w:space="0" w:color="D9D9D9" w:themeColor="background1" w:themeShade="D9"/>
              <w:bottom w:val="single" w:sz="4" w:space="0" w:color="D9D9D9" w:themeColor="background1" w:themeShade="D9"/>
            </w:tcBorders>
            <w:hideMark/>
          </w:tcPr>
          <w:p w:rsidR="00A132D8" w:rsidRPr="00120152" w:rsidRDefault="00A132D8" w:rsidP="005526BB">
            <w:pPr>
              <w:jc w:val="both"/>
              <w:rPr>
                <w:rFonts w:cs="Arial"/>
                <w:color w:val="000000" w:themeColor="text1"/>
                <w:sz w:val="18"/>
                <w:lang w:val="bs-Latn-BA"/>
              </w:rPr>
            </w:pPr>
            <w:r w:rsidRPr="00120152">
              <w:rPr>
                <w:rFonts w:cs="Arial"/>
                <w:color w:val="000000" w:themeColor="text1"/>
                <w:sz w:val="18"/>
                <w:lang w:val="bs-Latn-BA"/>
              </w:rPr>
              <w:t>Crna Gora</w:t>
            </w:r>
          </w:p>
        </w:tc>
        <w:tc>
          <w:tcPr>
            <w:tcW w:w="1363" w:type="pct"/>
            <w:tcBorders>
              <w:top w:val="single" w:sz="4" w:space="0" w:color="D9D9D9" w:themeColor="background1" w:themeShade="D9"/>
              <w:bottom w:val="single" w:sz="4" w:space="0" w:color="D9D9D9" w:themeColor="background1" w:themeShade="D9"/>
            </w:tcBorders>
            <w:hideMark/>
          </w:tcPr>
          <w:p w:rsidR="00A132D8" w:rsidRPr="00120152" w:rsidRDefault="00A132D8" w:rsidP="005526BB">
            <w:pPr>
              <w:jc w:val="center"/>
              <w:rPr>
                <w:rFonts w:cs="Arial"/>
                <w:color w:val="000000" w:themeColor="text1"/>
                <w:sz w:val="18"/>
                <w:lang w:val="bs-Latn-BA"/>
              </w:rPr>
            </w:pPr>
            <w:r w:rsidRPr="00120152">
              <w:rPr>
                <w:rFonts w:eastAsia="Cambria" w:cs="Arial"/>
                <w:color w:val="000000" w:themeColor="dark1"/>
                <w:kern w:val="24"/>
                <w:sz w:val="18"/>
                <w:lang w:val="bs-Latn-BA"/>
              </w:rPr>
              <w:t>29</w:t>
            </w:r>
            <w:r w:rsidR="004204EF">
              <w:rPr>
                <w:rFonts w:eastAsia="Cambria" w:cs="Arial"/>
                <w:color w:val="000000" w:themeColor="dark1"/>
                <w:kern w:val="24"/>
                <w:sz w:val="18"/>
                <w:lang w:val="bs-Latn-BA"/>
              </w:rPr>
              <w:t>.</w:t>
            </w:r>
            <w:r w:rsidRPr="00120152">
              <w:rPr>
                <w:rFonts w:eastAsia="Cambria" w:cs="Arial"/>
                <w:color w:val="000000" w:themeColor="dark1"/>
                <w:kern w:val="24"/>
                <w:sz w:val="18"/>
                <w:lang w:val="bs-Latn-BA"/>
              </w:rPr>
              <w:t>366</w:t>
            </w:r>
          </w:p>
        </w:tc>
        <w:tc>
          <w:tcPr>
            <w:tcW w:w="1093" w:type="pct"/>
            <w:tcBorders>
              <w:top w:val="single" w:sz="4" w:space="0" w:color="D9D9D9" w:themeColor="background1" w:themeShade="D9"/>
              <w:bottom w:val="single" w:sz="4" w:space="0" w:color="D9D9D9" w:themeColor="background1" w:themeShade="D9"/>
            </w:tcBorders>
            <w:hideMark/>
          </w:tcPr>
          <w:p w:rsidR="00A132D8" w:rsidRPr="00120152" w:rsidRDefault="00A132D8" w:rsidP="005526BB">
            <w:pPr>
              <w:jc w:val="center"/>
              <w:rPr>
                <w:rFonts w:cs="Arial"/>
                <w:color w:val="000000" w:themeColor="text1"/>
                <w:sz w:val="18"/>
                <w:lang w:val="bs-Latn-BA"/>
              </w:rPr>
            </w:pPr>
            <w:r w:rsidRPr="00120152">
              <w:rPr>
                <w:rFonts w:eastAsia="Cambria" w:cs="Arial"/>
                <w:color w:val="000000" w:themeColor="dark1"/>
                <w:kern w:val="24"/>
                <w:sz w:val="18"/>
                <w:lang w:val="bs-Latn-BA"/>
              </w:rPr>
              <w:t>32</w:t>
            </w:r>
            <w:r w:rsidR="004204EF">
              <w:rPr>
                <w:rFonts w:eastAsia="Cambria" w:cs="Arial"/>
                <w:color w:val="000000" w:themeColor="dark1"/>
                <w:kern w:val="24"/>
                <w:sz w:val="18"/>
                <w:lang w:val="bs-Latn-BA"/>
              </w:rPr>
              <w:t>.</w:t>
            </w:r>
            <w:r w:rsidRPr="00120152">
              <w:rPr>
                <w:rFonts w:eastAsia="Cambria" w:cs="Arial"/>
                <w:color w:val="000000" w:themeColor="dark1"/>
                <w:kern w:val="24"/>
                <w:sz w:val="18"/>
                <w:lang w:val="bs-Latn-BA"/>
              </w:rPr>
              <w:t>344</w:t>
            </w:r>
          </w:p>
        </w:tc>
        <w:tc>
          <w:tcPr>
            <w:tcW w:w="1294" w:type="pct"/>
            <w:tcBorders>
              <w:top w:val="single" w:sz="4" w:space="0" w:color="D9D9D9" w:themeColor="background1" w:themeShade="D9"/>
              <w:bottom w:val="single" w:sz="4" w:space="0" w:color="D9D9D9" w:themeColor="background1" w:themeShade="D9"/>
            </w:tcBorders>
            <w:hideMark/>
          </w:tcPr>
          <w:p w:rsidR="00A132D8" w:rsidRPr="00120152" w:rsidRDefault="00A132D8" w:rsidP="005526BB">
            <w:pPr>
              <w:jc w:val="center"/>
              <w:rPr>
                <w:rFonts w:cs="Arial"/>
                <w:color w:val="000000" w:themeColor="text1"/>
                <w:sz w:val="18"/>
                <w:lang w:val="bs-Latn-BA"/>
              </w:rPr>
            </w:pPr>
            <w:r w:rsidRPr="00120152">
              <w:rPr>
                <w:rFonts w:eastAsia="Cambria" w:cs="Arial"/>
                <w:color w:val="000000" w:themeColor="dark1"/>
                <w:kern w:val="24"/>
                <w:sz w:val="18"/>
                <w:lang w:val="bs-Latn-BA"/>
              </w:rPr>
              <w:t>110,14</w:t>
            </w:r>
          </w:p>
        </w:tc>
      </w:tr>
    </w:tbl>
    <w:p w:rsidR="00A132D8" w:rsidRPr="00120152" w:rsidRDefault="00A132D8" w:rsidP="005526BB">
      <w:pPr>
        <w:jc w:val="right"/>
        <w:rPr>
          <w:i/>
          <w:iCs/>
          <w:color w:val="000000" w:themeColor="text1"/>
          <w:sz w:val="18"/>
          <w:lang w:val="bs-Latn-BA"/>
        </w:rPr>
      </w:pPr>
      <w:r w:rsidRPr="00120152">
        <w:rPr>
          <w:i/>
          <w:iCs/>
          <w:color w:val="000000" w:themeColor="text1"/>
          <w:sz w:val="18"/>
          <w:lang w:val="bs-Latn-BA"/>
        </w:rPr>
        <w:t xml:space="preserve">Izvor: Zavod za zapošljavanje Crne Gore </w:t>
      </w:r>
    </w:p>
    <w:p w:rsidR="00A132D8" w:rsidRPr="00120152" w:rsidRDefault="00A132D8" w:rsidP="005526BB">
      <w:pPr>
        <w:jc w:val="both"/>
        <w:rPr>
          <w:color w:val="000000" w:themeColor="text1"/>
          <w:szCs w:val="20"/>
          <w:lang w:val="bs-Latn-BA"/>
        </w:rPr>
      </w:pPr>
    </w:p>
    <w:p w:rsidR="005526BB" w:rsidRDefault="00A132D8" w:rsidP="005526BB">
      <w:pPr>
        <w:jc w:val="both"/>
        <w:rPr>
          <w:rFonts w:cs="Arial"/>
          <w:color w:val="000000" w:themeColor="text1"/>
          <w:sz w:val="22"/>
          <w:szCs w:val="22"/>
        </w:rPr>
      </w:pPr>
      <w:r w:rsidRPr="00120152">
        <w:rPr>
          <w:rFonts w:cs="Arial"/>
          <w:color w:val="000000" w:themeColor="text1"/>
          <w:sz w:val="22"/>
          <w:szCs w:val="22"/>
        </w:rPr>
        <w:t xml:space="preserve">Rast oglašenih slobodnih radnih mjesta je u 2019. godini u značajnoj mjeri uzrokovan rastom tražnje za I stepenom stručne spreme, s obzirom na to da je broj oglašenih slobodnih radnih mjesta za ovim nivoom stručne spreme porastao za čak 46,5% u odnosu na 2018. godinu. Učešće slobodnih radnih mjesta za najmanje kvalifikovanom radnom snagom u ukupnom broju oglašenih slobodnih radnih mjesta u Glavnom gradu je poraslo sa 19,5% iz 2018. </w:t>
      </w:r>
      <w:r w:rsidRPr="00AA426D">
        <w:rPr>
          <w:rFonts w:cs="Arial"/>
          <w:color w:val="000000" w:themeColor="text1"/>
          <w:sz w:val="22"/>
          <w:szCs w:val="22"/>
        </w:rPr>
        <w:t>godine na 22,8% u 2019. godini.</w:t>
      </w:r>
      <w:r w:rsidRPr="00120152">
        <w:rPr>
          <w:rFonts w:cs="Arial"/>
          <w:color w:val="000000" w:themeColor="text1"/>
          <w:sz w:val="22"/>
          <w:szCs w:val="22"/>
        </w:rPr>
        <w:t xml:space="preserve"> </w:t>
      </w:r>
    </w:p>
    <w:p w:rsidR="007F2200" w:rsidRDefault="007F2200" w:rsidP="005526BB">
      <w:pPr>
        <w:jc w:val="both"/>
        <w:rPr>
          <w:rFonts w:cs="Arial"/>
          <w:color w:val="000000" w:themeColor="text1"/>
          <w:sz w:val="22"/>
          <w:szCs w:val="22"/>
        </w:rPr>
      </w:pPr>
    </w:p>
    <w:p w:rsidR="000250A6" w:rsidRDefault="00A132D8" w:rsidP="005526BB">
      <w:pPr>
        <w:jc w:val="both"/>
        <w:rPr>
          <w:rFonts w:cs="Arial"/>
          <w:color w:val="000000" w:themeColor="text1"/>
          <w:sz w:val="22"/>
          <w:szCs w:val="22"/>
        </w:rPr>
      </w:pPr>
      <w:r w:rsidRPr="00120152">
        <w:rPr>
          <w:rFonts w:cs="Arial"/>
          <w:color w:val="000000" w:themeColor="text1"/>
          <w:sz w:val="22"/>
          <w:szCs w:val="22"/>
        </w:rPr>
        <w:t>Dodatno, zna</w:t>
      </w:r>
      <w:r w:rsidR="000D38CF">
        <w:rPr>
          <w:rFonts w:cs="Arial"/>
          <w:color w:val="000000" w:themeColor="text1"/>
          <w:sz w:val="22"/>
          <w:szCs w:val="22"/>
        </w:rPr>
        <w:t>č</w:t>
      </w:r>
      <w:r w:rsidRPr="00120152">
        <w:rPr>
          <w:rFonts w:cs="Arial"/>
          <w:color w:val="000000" w:themeColor="text1"/>
          <w:sz w:val="22"/>
          <w:szCs w:val="22"/>
        </w:rPr>
        <w:t xml:space="preserve">ajan rast oglašenih radnih mjesta je zabilježen kod III stepena stručne spreme. Naime, taj rast je u 2019. godini iznosio 57,6%. Učešće broja oglašenih slobodnih radnih mjesta za III stepenom u ukupnom broju slobodnih radnih mjesta je poraslo sa 13,7% (2018) na 17,3% (2019) </w:t>
      </w:r>
    </w:p>
    <w:p w:rsidR="000250A6" w:rsidRDefault="000250A6" w:rsidP="005526BB">
      <w:pPr>
        <w:jc w:val="both"/>
        <w:rPr>
          <w:rFonts w:cs="Arial"/>
          <w:color w:val="000000" w:themeColor="text1"/>
          <w:sz w:val="22"/>
          <w:szCs w:val="22"/>
        </w:rPr>
      </w:pPr>
    </w:p>
    <w:p w:rsidR="00A132D8" w:rsidRPr="00120152" w:rsidRDefault="00A132D8" w:rsidP="005526BB">
      <w:pPr>
        <w:jc w:val="both"/>
        <w:rPr>
          <w:rFonts w:cs="Arial"/>
          <w:color w:val="000000" w:themeColor="text1"/>
          <w:sz w:val="22"/>
          <w:szCs w:val="22"/>
        </w:rPr>
      </w:pPr>
      <w:r w:rsidRPr="00120152">
        <w:rPr>
          <w:rFonts w:cs="Arial"/>
          <w:color w:val="000000" w:themeColor="text1"/>
          <w:sz w:val="22"/>
          <w:szCs w:val="22"/>
        </w:rPr>
        <w:t xml:space="preserve">Sa druge strane, tražnja za visokoškolcima (VII1 stepen) je porasla u 2019. godini za skromnih 3,8%, dok je učešće slobodnih radnih mjesta za tim nivoom stručne spreme u ukupnom broju oglašenih radnih mjesta palo u odnosu na 2018. godinu sa 33,1% na 27,5%. </w:t>
      </w:r>
    </w:p>
    <w:p w:rsidR="00A132D8" w:rsidRPr="00120152" w:rsidRDefault="00A132D8" w:rsidP="00A132D8">
      <w:pPr>
        <w:rPr>
          <w:rFonts w:cs="Arial"/>
          <w:color w:val="000000" w:themeColor="text1"/>
          <w:szCs w:val="20"/>
          <w:lang w:val="bs-Latn-BA"/>
        </w:rPr>
      </w:pPr>
    </w:p>
    <w:p w:rsidR="00A132D8" w:rsidRDefault="00A132D8" w:rsidP="00A132D8">
      <w:pPr>
        <w:rPr>
          <w:rFonts w:cs="Arial"/>
          <w:bCs/>
          <w:szCs w:val="20"/>
          <w:lang w:val="bs-Latn-BA"/>
        </w:rPr>
      </w:pPr>
      <w:r w:rsidRPr="00120152">
        <w:rPr>
          <w:rFonts w:cs="Arial"/>
          <w:color w:val="000000" w:themeColor="text1"/>
          <w:szCs w:val="20"/>
          <w:lang w:val="bs-Latn-BA"/>
        </w:rPr>
        <w:lastRenderedPageBreak/>
        <w:t xml:space="preserve">Grafik 11: </w:t>
      </w:r>
      <w:r w:rsidRPr="00120152">
        <w:rPr>
          <w:rFonts w:cs="Arial"/>
          <w:bCs/>
          <w:szCs w:val="20"/>
          <w:lang w:val="bs-Latn-BA"/>
        </w:rPr>
        <w:t>Nezaposlena lica i oglašena slobodna radna mjesta prema stepenu stručne spreme, 2019</w:t>
      </w:r>
      <w:r w:rsidR="00E056FB">
        <w:rPr>
          <w:rFonts w:cs="Arial"/>
          <w:bCs/>
          <w:szCs w:val="20"/>
          <w:lang w:val="bs-Latn-BA"/>
        </w:rPr>
        <w:t xml:space="preserve">. </w:t>
      </w:r>
      <w:r w:rsidR="00E056FB" w:rsidRPr="006B71DC">
        <w:rPr>
          <w:rFonts w:eastAsia="Cambria" w:cs="Arial"/>
          <w:color w:val="000000" w:themeColor="text1"/>
          <w:kern w:val="24"/>
          <w:szCs w:val="20"/>
        </w:rPr>
        <w:t xml:space="preserve">(Biro rada Podgorica </w:t>
      </w:r>
      <w:r w:rsidR="00E056FB">
        <w:rPr>
          <w:rFonts w:eastAsia="Cambria" w:cs="Arial"/>
          <w:color w:val="000000" w:themeColor="text1"/>
          <w:kern w:val="24"/>
          <w:szCs w:val="20"/>
        </w:rPr>
        <w:t>i</w:t>
      </w:r>
      <w:r w:rsidR="00E056FB" w:rsidRPr="006B71DC">
        <w:rPr>
          <w:rFonts w:eastAsia="Cambria" w:cs="Arial"/>
          <w:color w:val="000000" w:themeColor="text1"/>
          <w:kern w:val="24"/>
          <w:szCs w:val="20"/>
        </w:rPr>
        <w:t xml:space="preserve"> Biro rada Golubovci)</w:t>
      </w:r>
    </w:p>
    <w:p w:rsidR="005526BB" w:rsidRPr="00120152" w:rsidRDefault="005526BB" w:rsidP="00A132D8">
      <w:pPr>
        <w:rPr>
          <w:rFonts w:cs="Arial"/>
          <w:bCs/>
          <w:szCs w:val="20"/>
          <w:lang w:val="bs-Latn-BA"/>
        </w:rPr>
      </w:pPr>
    </w:p>
    <w:p w:rsidR="00A132D8" w:rsidRPr="00120152" w:rsidRDefault="00C7285E" w:rsidP="00A132D8">
      <w:pPr>
        <w:jc w:val="center"/>
        <w:rPr>
          <w:rFonts w:cs="Arial"/>
          <w:bCs/>
          <w:szCs w:val="20"/>
          <w:lang w:val="bs-Latn-BA"/>
        </w:rPr>
      </w:pPr>
      <w:r w:rsidRPr="00C7285E">
        <w:rPr>
          <w:noProof/>
          <w:lang w:val="en-US"/>
        </w:rPr>
        <w:drawing>
          <wp:inline distT="0" distB="0" distL="0" distR="0">
            <wp:extent cx="4770120" cy="1713183"/>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4780838" cy="1717032"/>
                    </a:xfrm>
                    <a:prstGeom prst="rect">
                      <a:avLst/>
                    </a:prstGeom>
                  </pic:spPr>
                </pic:pic>
              </a:graphicData>
            </a:graphic>
          </wp:inline>
        </w:drawing>
      </w:r>
    </w:p>
    <w:p w:rsidR="00A132D8" w:rsidRPr="00120152" w:rsidRDefault="00A132D8" w:rsidP="00A132D8">
      <w:pPr>
        <w:jc w:val="right"/>
        <w:rPr>
          <w:i/>
          <w:iCs/>
          <w:color w:val="000000" w:themeColor="text1"/>
          <w:sz w:val="18"/>
          <w:lang w:val="bs-Latn-BA"/>
        </w:rPr>
      </w:pPr>
      <w:r w:rsidRPr="00120152">
        <w:rPr>
          <w:i/>
          <w:iCs/>
          <w:color w:val="000000" w:themeColor="text1"/>
          <w:sz w:val="18"/>
          <w:lang w:val="bs-Latn-BA"/>
        </w:rPr>
        <w:t>Izvor: Zavod za zapošljavanje Crne Gore</w:t>
      </w:r>
    </w:p>
    <w:p w:rsidR="00A132D8" w:rsidRPr="00120152" w:rsidRDefault="00A132D8" w:rsidP="00A132D8">
      <w:pPr>
        <w:jc w:val="both"/>
        <w:rPr>
          <w:rFonts w:cs="Arial"/>
          <w:iCs/>
          <w:sz w:val="22"/>
          <w:szCs w:val="22"/>
          <w:lang w:val="bs-Latn-BA"/>
        </w:rPr>
      </w:pPr>
    </w:p>
    <w:p w:rsidR="00A132D8" w:rsidRPr="00120152" w:rsidRDefault="00A132D8" w:rsidP="005526BB">
      <w:pPr>
        <w:jc w:val="both"/>
        <w:rPr>
          <w:rFonts w:cs="Arial"/>
          <w:color w:val="000000" w:themeColor="text1"/>
          <w:sz w:val="22"/>
          <w:szCs w:val="22"/>
        </w:rPr>
      </w:pPr>
      <w:r w:rsidRPr="00120152">
        <w:rPr>
          <w:rFonts w:cs="Arial"/>
          <w:color w:val="000000" w:themeColor="text1"/>
          <w:sz w:val="22"/>
          <w:szCs w:val="22"/>
        </w:rPr>
        <w:t>Uprkos značajnom smanjenju učešća u ukupnom broju oglašenih slobodnih radnih mjesta na teritoriji Glavnog grada, tokom 2019. godine je i dalje najviše bila zastupljena tražnja za licima sa visokim VII-1 stepenom obrazovanja. Takođe, odnos broja nezaposlenih lica odgovarajuće stručne spreme i broja oglašenih radnih mjesta sa tom stručnom spremom ukazuje</w:t>
      </w:r>
      <w:r w:rsidR="00EC5DB0">
        <w:rPr>
          <w:rFonts w:cs="Arial"/>
          <w:color w:val="000000" w:themeColor="text1"/>
          <w:sz w:val="22"/>
          <w:szCs w:val="22"/>
        </w:rPr>
        <w:t xml:space="preserve"> na to</w:t>
      </w:r>
      <w:r w:rsidRPr="00120152">
        <w:rPr>
          <w:rFonts w:cs="Arial"/>
          <w:color w:val="000000" w:themeColor="text1"/>
          <w:sz w:val="22"/>
          <w:szCs w:val="22"/>
        </w:rPr>
        <w:t xml:space="preserve"> da je na svim nivoima obrazovanja, osim I i II stepena stručn</w:t>
      </w:r>
      <w:r w:rsidR="00EC5DB0" w:rsidRPr="00120152">
        <w:rPr>
          <w:rFonts w:cs="Arial"/>
          <w:color w:val="000000" w:themeColor="text1"/>
          <w:sz w:val="22"/>
          <w:szCs w:val="22"/>
        </w:rPr>
        <w:t>e</w:t>
      </w:r>
      <w:r w:rsidRPr="00120152">
        <w:rPr>
          <w:rFonts w:cs="Arial"/>
          <w:color w:val="000000" w:themeColor="text1"/>
          <w:sz w:val="22"/>
          <w:szCs w:val="22"/>
        </w:rPr>
        <w:t xml:space="preserve"> spreme</w:t>
      </w:r>
      <w:r w:rsidR="00EC5DB0">
        <w:rPr>
          <w:rFonts w:cs="Arial"/>
          <w:color w:val="000000" w:themeColor="text1"/>
          <w:sz w:val="22"/>
          <w:szCs w:val="22"/>
        </w:rPr>
        <w:t>,</w:t>
      </w:r>
      <w:r w:rsidRPr="00120152">
        <w:rPr>
          <w:rFonts w:cs="Arial"/>
          <w:color w:val="000000" w:themeColor="text1"/>
          <w:sz w:val="22"/>
          <w:szCs w:val="22"/>
        </w:rPr>
        <w:t xml:space="preserve"> tražnja za radnom snagom veća od ponude. Sa druge strane, ve</w:t>
      </w:r>
      <w:r w:rsidR="00EC5DB0">
        <w:rPr>
          <w:rFonts w:cs="Arial"/>
          <w:color w:val="000000" w:themeColor="text1"/>
          <w:sz w:val="22"/>
          <w:szCs w:val="22"/>
        </w:rPr>
        <w:t>ć</w:t>
      </w:r>
      <w:r w:rsidRPr="00120152">
        <w:rPr>
          <w:rFonts w:cs="Arial"/>
          <w:color w:val="000000" w:themeColor="text1"/>
          <w:sz w:val="22"/>
          <w:szCs w:val="22"/>
        </w:rPr>
        <w:t xml:space="preserve">i broj nezaposlenih lica sa nižim nivoom obrazovanja u odnosu na broj oglašenih radnih mjesta ukazuje na nepovoljan položaj ove kategorije na tržištu rada. </w:t>
      </w:r>
    </w:p>
    <w:p w:rsidR="00A132D8" w:rsidRPr="00120152" w:rsidRDefault="00A132D8" w:rsidP="005526BB">
      <w:pPr>
        <w:jc w:val="both"/>
        <w:rPr>
          <w:rFonts w:cs="Arial"/>
          <w:color w:val="000000" w:themeColor="text1"/>
          <w:szCs w:val="20"/>
          <w:lang w:val="bs-Latn-BA"/>
        </w:rPr>
      </w:pPr>
    </w:p>
    <w:p w:rsidR="00A132D8" w:rsidRPr="00120152" w:rsidRDefault="00A132D8" w:rsidP="005526BB">
      <w:pPr>
        <w:jc w:val="both"/>
        <w:rPr>
          <w:rFonts w:cs="Arial"/>
          <w:color w:val="000000" w:themeColor="text1"/>
          <w:szCs w:val="20"/>
          <w:lang w:val="bs-Latn-BA"/>
        </w:rPr>
      </w:pPr>
      <w:r w:rsidRPr="00120152">
        <w:rPr>
          <w:rFonts w:cs="Arial"/>
          <w:color w:val="000000" w:themeColor="text1"/>
          <w:szCs w:val="20"/>
          <w:lang w:val="bs-Latn-BA"/>
        </w:rPr>
        <w:t>Grafik 12: Oglašena radna mjesta prema djelatnostima, 2011</w:t>
      </w:r>
      <w:r w:rsidR="00B15997">
        <w:rPr>
          <w:rFonts w:cs="Arial"/>
          <w:color w:val="000000" w:themeColor="text1"/>
          <w:szCs w:val="20"/>
          <w:lang w:val="bs-Latn-BA"/>
        </w:rPr>
        <w:t>.</w:t>
      </w:r>
      <w:r w:rsidRPr="00120152">
        <w:rPr>
          <w:rFonts w:cs="Arial"/>
          <w:color w:val="000000" w:themeColor="text1"/>
          <w:szCs w:val="20"/>
          <w:lang w:val="bs-Latn-BA"/>
        </w:rPr>
        <w:t xml:space="preserve"> i 2018</w:t>
      </w:r>
      <w:r w:rsidR="00B15997">
        <w:rPr>
          <w:rFonts w:cs="Arial"/>
          <w:color w:val="000000" w:themeColor="text1"/>
          <w:szCs w:val="20"/>
          <w:lang w:val="bs-Latn-BA"/>
        </w:rPr>
        <w:t>.</w:t>
      </w:r>
    </w:p>
    <w:p w:rsidR="00A132D8" w:rsidRPr="00120152" w:rsidRDefault="00A132D8" w:rsidP="005526BB">
      <w:pPr>
        <w:jc w:val="both"/>
        <w:rPr>
          <w:rFonts w:cs="Arial"/>
          <w:color w:val="000000" w:themeColor="text1"/>
          <w:szCs w:val="20"/>
          <w:lang w:val="bs-Latn-BA"/>
        </w:rPr>
      </w:pPr>
    </w:p>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4"/>
        <w:gridCol w:w="4863"/>
      </w:tblGrid>
      <w:tr w:rsidR="0070358D" w:rsidRPr="00120152" w:rsidTr="0070358D">
        <w:trPr>
          <w:trHeight w:val="1110"/>
        </w:trPr>
        <w:tc>
          <w:tcPr>
            <w:tcW w:w="4424" w:type="dxa"/>
          </w:tcPr>
          <w:p w:rsidR="00A132D8" w:rsidRPr="00120152" w:rsidRDefault="0070358D" w:rsidP="00A132D8">
            <w:pPr>
              <w:jc w:val="center"/>
              <w:rPr>
                <w:rFonts w:cs="Arial"/>
                <w:color w:val="000000" w:themeColor="text1"/>
                <w:sz w:val="22"/>
                <w:szCs w:val="22"/>
                <w:lang w:val="bs-Latn-BA"/>
              </w:rPr>
            </w:pPr>
            <w:r>
              <w:rPr>
                <w:rFonts w:cs="Arial"/>
                <w:noProof/>
                <w:color w:val="000000" w:themeColor="text1"/>
                <w:sz w:val="22"/>
                <w:szCs w:val="22"/>
                <w:lang w:val="en-US"/>
              </w:rPr>
              <w:drawing>
                <wp:inline distT="0" distB="0" distL="0" distR="0">
                  <wp:extent cx="2796540" cy="1722998"/>
                  <wp:effectExtent l="0" t="0" r="381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1031" cy="1738087"/>
                          </a:xfrm>
                          <a:prstGeom prst="rect">
                            <a:avLst/>
                          </a:prstGeom>
                          <a:noFill/>
                        </pic:spPr>
                      </pic:pic>
                    </a:graphicData>
                  </a:graphic>
                </wp:inline>
              </w:drawing>
            </w:r>
          </w:p>
          <w:p w:rsidR="00A132D8" w:rsidRPr="00120152" w:rsidRDefault="00A132D8" w:rsidP="00A132D8">
            <w:pPr>
              <w:jc w:val="center"/>
              <w:rPr>
                <w:rFonts w:cs="Arial"/>
                <w:color w:val="000000" w:themeColor="text1"/>
                <w:sz w:val="22"/>
                <w:szCs w:val="22"/>
                <w:lang w:val="bs-Latn-BA"/>
              </w:rPr>
            </w:pPr>
          </w:p>
        </w:tc>
        <w:tc>
          <w:tcPr>
            <w:tcW w:w="5000" w:type="dxa"/>
          </w:tcPr>
          <w:p w:rsidR="00A132D8" w:rsidRPr="00120152" w:rsidRDefault="0070358D" w:rsidP="00A132D8">
            <w:pPr>
              <w:jc w:val="center"/>
              <w:rPr>
                <w:rFonts w:cs="Arial"/>
                <w:color w:val="000000" w:themeColor="text1"/>
                <w:sz w:val="22"/>
                <w:szCs w:val="22"/>
                <w:lang w:val="bs-Latn-BA"/>
              </w:rPr>
            </w:pPr>
            <w:r>
              <w:rPr>
                <w:rFonts w:cs="Arial"/>
                <w:noProof/>
                <w:color w:val="000000" w:themeColor="text1"/>
                <w:sz w:val="22"/>
                <w:szCs w:val="22"/>
                <w:lang w:val="en-US"/>
              </w:rPr>
              <w:drawing>
                <wp:inline distT="0" distB="0" distL="0" distR="0">
                  <wp:extent cx="2964180" cy="1729631"/>
                  <wp:effectExtent l="0" t="0" r="7620" b="444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3585" cy="1781800"/>
                          </a:xfrm>
                          <a:prstGeom prst="rect">
                            <a:avLst/>
                          </a:prstGeom>
                          <a:noFill/>
                        </pic:spPr>
                      </pic:pic>
                    </a:graphicData>
                  </a:graphic>
                </wp:inline>
              </w:drawing>
            </w:r>
          </w:p>
        </w:tc>
      </w:tr>
    </w:tbl>
    <w:p w:rsidR="00A132D8" w:rsidRPr="00120152" w:rsidRDefault="00A132D8" w:rsidP="00A132D8">
      <w:pPr>
        <w:jc w:val="right"/>
        <w:rPr>
          <w:color w:val="000000" w:themeColor="text1"/>
          <w:szCs w:val="20"/>
          <w:lang w:val="bs-Latn-BA"/>
        </w:rPr>
      </w:pPr>
      <w:r w:rsidRPr="00120152">
        <w:rPr>
          <w:i/>
          <w:iCs/>
          <w:color w:val="000000" w:themeColor="text1"/>
          <w:sz w:val="18"/>
          <w:lang w:val="bs-Latn-BA"/>
        </w:rPr>
        <w:t>Izvor: Zavod za zapošljavanje Crne Gore</w:t>
      </w:r>
    </w:p>
    <w:p w:rsidR="00591D9F" w:rsidRDefault="00591D9F" w:rsidP="005526BB">
      <w:pPr>
        <w:jc w:val="both"/>
        <w:rPr>
          <w:rFonts w:cs="Arial"/>
          <w:color w:val="000000" w:themeColor="text1"/>
          <w:sz w:val="22"/>
          <w:szCs w:val="22"/>
        </w:rPr>
      </w:pPr>
    </w:p>
    <w:p w:rsidR="00A132D8" w:rsidRPr="00120152" w:rsidRDefault="00A132D8" w:rsidP="005526BB">
      <w:pPr>
        <w:jc w:val="both"/>
        <w:rPr>
          <w:rFonts w:cs="Arial"/>
          <w:color w:val="000000" w:themeColor="text1"/>
          <w:sz w:val="22"/>
          <w:szCs w:val="22"/>
        </w:rPr>
      </w:pPr>
      <w:r w:rsidRPr="00120152">
        <w:rPr>
          <w:rFonts w:cs="Arial"/>
          <w:color w:val="000000" w:themeColor="text1"/>
          <w:sz w:val="22"/>
          <w:szCs w:val="22"/>
        </w:rPr>
        <w:t xml:space="preserve">Posmatrano po djelatnostima, u strukturi oglašenih radnih mjesta došlo je do značajnih promjena u odnosu na 2011. </w:t>
      </w:r>
      <w:r w:rsidR="000D38CF">
        <w:rPr>
          <w:rFonts w:cs="Arial"/>
          <w:color w:val="000000" w:themeColor="text1"/>
          <w:sz w:val="22"/>
          <w:szCs w:val="22"/>
        </w:rPr>
        <w:t>g</w:t>
      </w:r>
      <w:r w:rsidRPr="00120152">
        <w:rPr>
          <w:rFonts w:cs="Arial"/>
          <w:color w:val="000000" w:themeColor="text1"/>
          <w:sz w:val="22"/>
          <w:szCs w:val="22"/>
        </w:rPr>
        <w:t xml:space="preserve">odinu. Tako u 2018. godini najveće učešće ima sektor </w:t>
      </w:r>
      <w:r w:rsidR="00F56DA8">
        <w:rPr>
          <w:rFonts w:cs="Arial"/>
          <w:color w:val="000000" w:themeColor="text1"/>
          <w:sz w:val="22"/>
          <w:szCs w:val="22"/>
        </w:rPr>
        <w:t>O</w:t>
      </w:r>
      <w:r w:rsidRPr="00120152">
        <w:rPr>
          <w:rFonts w:cs="Arial"/>
          <w:color w:val="000000" w:themeColor="text1"/>
          <w:sz w:val="22"/>
          <w:szCs w:val="22"/>
        </w:rPr>
        <w:t>brazovanja (14,6% ukupno oglašenih slobodnih radnih mjesta), dok je u 2011. god</w:t>
      </w:r>
      <w:r w:rsidR="000D38CF">
        <w:rPr>
          <w:rFonts w:cs="Arial"/>
          <w:color w:val="000000" w:themeColor="text1"/>
          <w:sz w:val="22"/>
          <w:szCs w:val="22"/>
        </w:rPr>
        <w:t>i</w:t>
      </w:r>
      <w:r w:rsidRPr="00120152">
        <w:rPr>
          <w:rFonts w:cs="Arial"/>
          <w:color w:val="000000" w:themeColor="text1"/>
          <w:sz w:val="22"/>
          <w:szCs w:val="22"/>
        </w:rPr>
        <w:t xml:space="preserve">ni to mjesto pripadalo sektoru Poljoprivrede, šumarstva i ribarstva (18,6%). Ovo upućuje na značajnu promjenu strukture privrede u posmatranom periodu. Na drugom mjestu je sa sličnim učešćem u ukupnom broju oglašenih radnih mjesta i 2011 i 2018. godine sektor Trgovina na veliko i trgovina </w:t>
      </w:r>
      <w:r w:rsidR="00EC5DB0">
        <w:rPr>
          <w:rFonts w:cs="Arial"/>
          <w:color w:val="000000" w:themeColor="text1"/>
          <w:sz w:val="22"/>
          <w:szCs w:val="22"/>
        </w:rPr>
        <w:t xml:space="preserve">na </w:t>
      </w:r>
      <w:r w:rsidRPr="00120152">
        <w:rPr>
          <w:rFonts w:cs="Arial"/>
          <w:color w:val="000000" w:themeColor="text1"/>
          <w:sz w:val="22"/>
          <w:szCs w:val="22"/>
        </w:rPr>
        <w:t xml:space="preserve">malo i popravka motornih vozila sa 14,8%, odnosno 14,1%. Takođe, učešće oglašenih slobodnih radnih mjesta u sektoru </w:t>
      </w:r>
      <w:r w:rsidR="00F56DA8">
        <w:rPr>
          <w:rFonts w:cs="Arial"/>
          <w:color w:val="000000" w:themeColor="text1"/>
          <w:sz w:val="22"/>
          <w:szCs w:val="22"/>
        </w:rPr>
        <w:t>G</w:t>
      </w:r>
      <w:r w:rsidRPr="00120152">
        <w:rPr>
          <w:rFonts w:cs="Arial"/>
          <w:color w:val="000000" w:themeColor="text1"/>
          <w:sz w:val="22"/>
          <w:szCs w:val="22"/>
        </w:rPr>
        <w:t>rađevinarstva je sa 13,7</w:t>
      </w:r>
      <w:r w:rsidR="00212563">
        <w:rPr>
          <w:rFonts w:cs="Arial"/>
          <w:color w:val="000000" w:themeColor="text1"/>
          <w:sz w:val="22"/>
          <w:szCs w:val="22"/>
        </w:rPr>
        <w:t xml:space="preserve">% </w:t>
      </w:r>
      <w:r w:rsidRPr="00120152">
        <w:rPr>
          <w:rFonts w:cs="Arial"/>
          <w:color w:val="000000" w:themeColor="text1"/>
          <w:sz w:val="22"/>
          <w:szCs w:val="22"/>
        </w:rPr>
        <w:t>(2011. godine) palo na 7,2% (2018. godine)</w:t>
      </w:r>
      <w:r w:rsidR="00F56DA8">
        <w:rPr>
          <w:rFonts w:cs="Arial"/>
          <w:color w:val="000000" w:themeColor="text1"/>
          <w:sz w:val="22"/>
          <w:szCs w:val="22"/>
        </w:rPr>
        <w:t>.</w:t>
      </w:r>
      <w:r w:rsidRPr="00120152">
        <w:rPr>
          <w:rFonts w:cs="Arial"/>
          <w:color w:val="000000" w:themeColor="text1"/>
          <w:sz w:val="22"/>
          <w:szCs w:val="22"/>
        </w:rPr>
        <w:t xml:space="preserve"> Takođe, sve veći broj oglašenih radnih mjesta je </w:t>
      </w:r>
      <w:r w:rsidRPr="00F56DA8">
        <w:rPr>
          <w:rFonts w:cs="Arial"/>
          <w:color w:val="000000" w:themeColor="text1"/>
          <w:sz w:val="22"/>
          <w:szCs w:val="22"/>
        </w:rPr>
        <w:t>u sektoru Administrativne i pomoćne uslužne djelatnosti (11,2% svih slobodnih radnih mjesta u 2018. godini).</w:t>
      </w:r>
      <w:r w:rsidRPr="00120152">
        <w:rPr>
          <w:rFonts w:cs="Arial"/>
          <w:color w:val="000000" w:themeColor="text1"/>
          <w:sz w:val="22"/>
          <w:szCs w:val="22"/>
        </w:rPr>
        <w:t xml:space="preserve"> </w:t>
      </w:r>
    </w:p>
    <w:p w:rsidR="00A132D8" w:rsidRPr="00120152" w:rsidRDefault="00A132D8" w:rsidP="005526BB">
      <w:pPr>
        <w:jc w:val="both"/>
        <w:rPr>
          <w:rFonts w:cs="Arial"/>
          <w:i/>
          <w:sz w:val="22"/>
          <w:szCs w:val="22"/>
          <w:lang w:val="bs-Latn-BA"/>
        </w:rPr>
      </w:pPr>
    </w:p>
    <w:p w:rsidR="00A132D8" w:rsidRPr="00385224" w:rsidRDefault="00385224" w:rsidP="00385224">
      <w:pPr>
        <w:pStyle w:val="Heading3"/>
        <w:rPr>
          <w:lang w:val="bs-Latn-BA"/>
        </w:rPr>
      </w:pPr>
      <w:r w:rsidRPr="00385224">
        <w:rPr>
          <w:lang w:val="bs-Latn-BA"/>
        </w:rPr>
        <w:t xml:space="preserve">3.4.2 </w:t>
      </w:r>
      <w:r w:rsidR="00A132D8" w:rsidRPr="00385224">
        <w:rPr>
          <w:lang w:val="bs-Latn-BA"/>
        </w:rPr>
        <w:t>Zapošljavanje nezaposlenih lica iz evidencije</w:t>
      </w:r>
    </w:p>
    <w:p w:rsidR="00A132D8" w:rsidRPr="00120152" w:rsidRDefault="00A132D8" w:rsidP="005526BB">
      <w:pPr>
        <w:rPr>
          <w:rFonts w:cs="Arial"/>
          <w:iCs/>
          <w:szCs w:val="20"/>
          <w:lang w:val="bs-Latn-BA"/>
        </w:rPr>
      </w:pPr>
    </w:p>
    <w:p w:rsidR="00A132D8" w:rsidRDefault="00A132D8" w:rsidP="005526BB">
      <w:pPr>
        <w:jc w:val="both"/>
        <w:rPr>
          <w:rFonts w:cs="Arial"/>
          <w:bCs/>
          <w:iCs/>
          <w:sz w:val="22"/>
          <w:szCs w:val="22"/>
          <w:lang w:val="pl-PL"/>
        </w:rPr>
      </w:pPr>
      <w:r w:rsidRPr="00120152">
        <w:rPr>
          <w:rFonts w:cs="Arial"/>
          <w:bCs/>
          <w:iCs/>
          <w:sz w:val="22"/>
          <w:szCs w:val="22"/>
          <w:lang w:val="pl-PL"/>
        </w:rPr>
        <w:t>U 2019. godini zaposlilo se 3</w:t>
      </w:r>
      <w:r w:rsidR="00F56DA8">
        <w:rPr>
          <w:rFonts w:cs="Arial"/>
          <w:bCs/>
          <w:iCs/>
          <w:sz w:val="22"/>
          <w:szCs w:val="22"/>
          <w:lang w:val="pl-PL"/>
        </w:rPr>
        <w:t>.</w:t>
      </w:r>
      <w:r w:rsidRPr="00120152">
        <w:rPr>
          <w:rFonts w:cs="Arial"/>
          <w:bCs/>
          <w:iCs/>
          <w:sz w:val="22"/>
          <w:szCs w:val="22"/>
          <w:lang w:val="pl-PL"/>
        </w:rPr>
        <w:t>430 lica sa evidencije, među kojima je 2</w:t>
      </w:r>
      <w:r w:rsidR="00F56DA8">
        <w:rPr>
          <w:rFonts w:cs="Arial"/>
          <w:bCs/>
          <w:iCs/>
          <w:sz w:val="22"/>
          <w:szCs w:val="22"/>
          <w:lang w:val="pl-PL"/>
        </w:rPr>
        <w:t>.</w:t>
      </w:r>
      <w:r w:rsidRPr="00120152">
        <w:rPr>
          <w:rFonts w:cs="Arial"/>
          <w:bCs/>
          <w:iCs/>
          <w:sz w:val="22"/>
          <w:szCs w:val="22"/>
          <w:lang w:val="pl-PL"/>
        </w:rPr>
        <w:t xml:space="preserve">108 ili 61,5% žena. Dok se u  Crnoj Gori ukupno iz evidencije Zavoda za zapošljavanje u 2019. godini zaposlilo 36,3% </w:t>
      </w:r>
      <w:r w:rsidRPr="00120152">
        <w:rPr>
          <w:rFonts w:cs="Arial"/>
          <w:bCs/>
          <w:iCs/>
          <w:sz w:val="22"/>
          <w:szCs w:val="22"/>
          <w:lang w:val="pl-PL"/>
        </w:rPr>
        <w:lastRenderedPageBreak/>
        <w:t xml:space="preserve">prosječnog broja nezaposlenih lica, u Podgorici se zaposlilo 47,4% prosječnog broja nezaposlenih prijavljenih u toj godini na evidenciji Biroa rada. </w:t>
      </w:r>
    </w:p>
    <w:p w:rsidR="00A132D8" w:rsidRPr="00120152" w:rsidRDefault="00A132D8" w:rsidP="00A132D8">
      <w:pPr>
        <w:spacing w:line="276" w:lineRule="auto"/>
        <w:jc w:val="both"/>
        <w:rPr>
          <w:rFonts w:cs="Arial"/>
          <w:iCs/>
          <w:szCs w:val="20"/>
          <w:lang w:val="bs-Latn-BA"/>
        </w:rPr>
      </w:pPr>
    </w:p>
    <w:p w:rsidR="00A132D8" w:rsidRDefault="00A132D8" w:rsidP="00A132D8">
      <w:pPr>
        <w:rPr>
          <w:rFonts w:cs="Arial"/>
          <w:iCs/>
          <w:szCs w:val="20"/>
          <w:lang w:val="bs-Latn-BA"/>
        </w:rPr>
      </w:pPr>
      <w:r w:rsidRPr="00120152">
        <w:rPr>
          <w:rFonts w:cs="Arial"/>
          <w:iCs/>
          <w:szCs w:val="20"/>
          <w:lang w:val="bs-Latn-BA"/>
        </w:rPr>
        <w:t>Tabela 19: Zapošljavanje, 2018</w:t>
      </w:r>
      <w:r w:rsidR="00604313">
        <w:rPr>
          <w:rFonts w:cs="Arial"/>
          <w:iCs/>
          <w:szCs w:val="20"/>
          <w:lang w:val="bs-Latn-BA"/>
        </w:rPr>
        <w:t>.</w:t>
      </w:r>
      <w:r w:rsidRPr="00120152">
        <w:rPr>
          <w:rFonts w:cs="Arial"/>
          <w:iCs/>
          <w:szCs w:val="20"/>
          <w:lang w:val="bs-Latn-BA"/>
        </w:rPr>
        <w:t xml:space="preserve"> i 2019.</w:t>
      </w:r>
      <w:r w:rsidR="00604313">
        <w:rPr>
          <w:rFonts w:cs="Arial"/>
          <w:iCs/>
          <w:szCs w:val="20"/>
          <w:lang w:val="bs-Latn-BA"/>
        </w:rPr>
        <w:t xml:space="preserve"> </w:t>
      </w:r>
      <w:r w:rsidR="007F2200">
        <w:rPr>
          <w:rFonts w:cs="Arial"/>
          <w:iCs/>
          <w:szCs w:val="20"/>
          <w:lang w:val="bs-Latn-BA"/>
        </w:rPr>
        <w:t>g</w:t>
      </w:r>
      <w:r w:rsidR="00604313">
        <w:rPr>
          <w:rFonts w:cs="Arial"/>
          <w:iCs/>
          <w:szCs w:val="20"/>
          <w:lang w:val="bs-Latn-BA"/>
        </w:rPr>
        <w:t>odine</w:t>
      </w:r>
    </w:p>
    <w:p w:rsidR="007F2200" w:rsidRPr="00120152" w:rsidRDefault="007F2200" w:rsidP="00A132D8">
      <w:pPr>
        <w:rPr>
          <w:rFonts w:cs="Arial"/>
          <w:iCs/>
          <w:szCs w:val="20"/>
          <w:lang w:val="bs-Latn-BA"/>
        </w:rPr>
      </w:pPr>
    </w:p>
    <w:tbl>
      <w:tblPr>
        <w:tblStyle w:val="PlainTable21"/>
        <w:tblpPr w:leftFromText="141" w:rightFromText="141" w:vertAnchor="text" w:horzAnchor="margin" w:tblpXSpec="center" w:tblpY="80"/>
        <w:tblW w:w="708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00"/>
      </w:tblPr>
      <w:tblGrid>
        <w:gridCol w:w="1271"/>
        <w:gridCol w:w="1985"/>
        <w:gridCol w:w="1559"/>
        <w:gridCol w:w="2268"/>
      </w:tblGrid>
      <w:tr w:rsidR="00A132D8" w:rsidRPr="00120152" w:rsidTr="00AA426D">
        <w:trPr>
          <w:trHeight w:val="133"/>
        </w:trPr>
        <w:tc>
          <w:tcPr>
            <w:tcW w:w="1271" w:type="dxa"/>
            <w:vMerge w:val="restart"/>
            <w:shd w:val="clear" w:color="auto" w:fill="FFD966" w:themeFill="accent4" w:themeFillTint="99"/>
            <w:hideMark/>
          </w:tcPr>
          <w:p w:rsidR="00A132D8" w:rsidRPr="00120152" w:rsidRDefault="00A132D8" w:rsidP="00A132D8">
            <w:pPr>
              <w:jc w:val="both"/>
              <w:rPr>
                <w:rFonts w:cs="Arial"/>
                <w:iCs/>
                <w:szCs w:val="20"/>
                <w:lang w:val="bs-Latn-BA"/>
              </w:rPr>
            </w:pPr>
          </w:p>
        </w:tc>
        <w:tc>
          <w:tcPr>
            <w:tcW w:w="3544" w:type="dxa"/>
            <w:gridSpan w:val="2"/>
            <w:shd w:val="clear" w:color="auto" w:fill="FFD966" w:themeFill="accent4" w:themeFillTint="99"/>
            <w:hideMark/>
          </w:tcPr>
          <w:p w:rsidR="00A132D8" w:rsidRPr="00120152" w:rsidRDefault="00A132D8" w:rsidP="00A132D8">
            <w:pPr>
              <w:jc w:val="center"/>
              <w:rPr>
                <w:rFonts w:cs="Arial"/>
                <w:iCs/>
                <w:sz w:val="18"/>
                <w:lang w:val="bs-Latn-BA"/>
              </w:rPr>
            </w:pPr>
            <w:r w:rsidRPr="00120152">
              <w:rPr>
                <w:rFonts w:cs="Arial"/>
                <w:iCs/>
                <w:sz w:val="18"/>
                <w:lang w:val="bs-Latn-BA"/>
              </w:rPr>
              <w:t>UKUPNO</w:t>
            </w:r>
          </w:p>
        </w:tc>
        <w:tc>
          <w:tcPr>
            <w:tcW w:w="2268" w:type="dxa"/>
            <w:vMerge w:val="restart"/>
            <w:shd w:val="clear" w:color="auto" w:fill="FFD966" w:themeFill="accent4" w:themeFillTint="99"/>
            <w:hideMark/>
          </w:tcPr>
          <w:p w:rsidR="00A132D8" w:rsidRPr="00120152" w:rsidRDefault="00A132D8" w:rsidP="00A132D8">
            <w:pPr>
              <w:jc w:val="center"/>
              <w:rPr>
                <w:rFonts w:cs="Arial"/>
                <w:iCs/>
                <w:sz w:val="18"/>
                <w:lang w:val="bs-Latn-BA"/>
              </w:rPr>
            </w:pPr>
            <w:r w:rsidRPr="00120152">
              <w:rPr>
                <w:rFonts w:cs="Arial"/>
                <w:iCs/>
                <w:sz w:val="18"/>
                <w:lang w:val="bs-Latn-BA"/>
              </w:rPr>
              <w:t>Indeks</w:t>
            </w:r>
          </w:p>
          <w:p w:rsidR="00A132D8" w:rsidRPr="00120152" w:rsidRDefault="00A132D8" w:rsidP="00A132D8">
            <w:pPr>
              <w:jc w:val="center"/>
              <w:rPr>
                <w:rFonts w:cs="Arial"/>
                <w:iCs/>
                <w:sz w:val="18"/>
                <w:lang w:val="bs-Latn-BA"/>
              </w:rPr>
            </w:pPr>
            <w:r w:rsidRPr="00120152">
              <w:rPr>
                <w:rFonts w:cs="Arial"/>
                <w:iCs/>
                <w:sz w:val="18"/>
                <w:lang w:val="bs-Latn-BA"/>
              </w:rPr>
              <w:t>2019:2018</w:t>
            </w:r>
          </w:p>
        </w:tc>
      </w:tr>
      <w:tr w:rsidR="00A132D8" w:rsidRPr="00120152" w:rsidTr="00AA426D">
        <w:trPr>
          <w:trHeight w:val="95"/>
        </w:trPr>
        <w:tc>
          <w:tcPr>
            <w:tcW w:w="1271" w:type="dxa"/>
            <w:vMerge/>
            <w:shd w:val="clear" w:color="auto" w:fill="FFCC66"/>
            <w:hideMark/>
          </w:tcPr>
          <w:p w:rsidR="00A132D8" w:rsidRPr="00120152" w:rsidRDefault="00A132D8" w:rsidP="00A132D8">
            <w:pPr>
              <w:jc w:val="both"/>
              <w:rPr>
                <w:rFonts w:cs="Arial"/>
                <w:b/>
                <w:iCs/>
                <w:szCs w:val="20"/>
                <w:lang w:val="bs-Latn-BA"/>
              </w:rPr>
            </w:pPr>
          </w:p>
        </w:tc>
        <w:tc>
          <w:tcPr>
            <w:tcW w:w="1985" w:type="dxa"/>
            <w:shd w:val="clear" w:color="auto" w:fill="FFD966" w:themeFill="accent4" w:themeFillTint="99"/>
            <w:hideMark/>
          </w:tcPr>
          <w:p w:rsidR="00A132D8" w:rsidRPr="00120152" w:rsidRDefault="00A132D8" w:rsidP="00A132D8">
            <w:pPr>
              <w:jc w:val="center"/>
              <w:rPr>
                <w:rFonts w:cs="Arial"/>
                <w:bCs/>
                <w:iCs/>
                <w:sz w:val="18"/>
                <w:lang w:val="bs-Latn-BA"/>
              </w:rPr>
            </w:pPr>
            <w:r w:rsidRPr="00120152">
              <w:rPr>
                <w:rFonts w:cs="Arial"/>
                <w:bCs/>
                <w:iCs/>
                <w:sz w:val="18"/>
                <w:lang w:val="bs-Latn-BA"/>
              </w:rPr>
              <w:t>2018.</w:t>
            </w:r>
          </w:p>
        </w:tc>
        <w:tc>
          <w:tcPr>
            <w:tcW w:w="1559" w:type="dxa"/>
            <w:shd w:val="clear" w:color="auto" w:fill="FFD966" w:themeFill="accent4" w:themeFillTint="99"/>
            <w:hideMark/>
          </w:tcPr>
          <w:p w:rsidR="00A132D8" w:rsidRPr="00120152" w:rsidRDefault="00A132D8" w:rsidP="00A132D8">
            <w:pPr>
              <w:jc w:val="center"/>
              <w:rPr>
                <w:rFonts w:cs="Arial"/>
                <w:bCs/>
                <w:iCs/>
                <w:sz w:val="18"/>
                <w:lang w:val="bs-Latn-BA"/>
              </w:rPr>
            </w:pPr>
            <w:r w:rsidRPr="00120152">
              <w:rPr>
                <w:rFonts w:cs="Arial"/>
                <w:bCs/>
                <w:iCs/>
                <w:sz w:val="18"/>
                <w:lang w:val="bs-Latn-BA"/>
              </w:rPr>
              <w:t>2019.</w:t>
            </w:r>
          </w:p>
        </w:tc>
        <w:tc>
          <w:tcPr>
            <w:tcW w:w="2268" w:type="dxa"/>
            <w:vMerge/>
            <w:hideMark/>
          </w:tcPr>
          <w:p w:rsidR="00A132D8" w:rsidRPr="00120152" w:rsidRDefault="00A132D8" w:rsidP="00A132D8">
            <w:pPr>
              <w:jc w:val="both"/>
              <w:rPr>
                <w:rFonts w:cs="Arial"/>
                <w:b/>
                <w:iCs/>
                <w:sz w:val="18"/>
                <w:lang w:val="bs-Latn-BA"/>
              </w:rPr>
            </w:pPr>
          </w:p>
        </w:tc>
      </w:tr>
      <w:tr w:rsidR="00A132D8" w:rsidRPr="00120152" w:rsidTr="00A132D8">
        <w:trPr>
          <w:trHeight w:val="205"/>
        </w:trPr>
        <w:tc>
          <w:tcPr>
            <w:tcW w:w="1271" w:type="dxa"/>
          </w:tcPr>
          <w:p w:rsidR="00A132D8" w:rsidRPr="00120152" w:rsidRDefault="00A132D8" w:rsidP="00A132D8">
            <w:pPr>
              <w:rPr>
                <w:rFonts w:cs="Arial"/>
                <w:bCs/>
                <w:iCs/>
                <w:sz w:val="18"/>
                <w:lang w:val="bs-Latn-BA"/>
              </w:rPr>
            </w:pPr>
            <w:r w:rsidRPr="00120152">
              <w:rPr>
                <w:rFonts w:cs="Arial"/>
                <w:bCs/>
                <w:iCs/>
                <w:sz w:val="18"/>
                <w:lang w:val="bs-Latn-BA"/>
              </w:rPr>
              <w:t>Podgorica</w:t>
            </w:r>
          </w:p>
        </w:tc>
        <w:tc>
          <w:tcPr>
            <w:tcW w:w="1985" w:type="dxa"/>
          </w:tcPr>
          <w:p w:rsidR="00A132D8" w:rsidRPr="00120152" w:rsidRDefault="00A132D8" w:rsidP="00A132D8">
            <w:pPr>
              <w:jc w:val="center"/>
              <w:rPr>
                <w:rFonts w:cs="Arial"/>
                <w:bCs/>
                <w:iCs/>
                <w:sz w:val="18"/>
                <w:lang w:val="bs-Latn-BA"/>
              </w:rPr>
            </w:pPr>
            <w:r w:rsidRPr="00120152">
              <w:rPr>
                <w:rFonts w:cs="Arial"/>
                <w:bCs/>
                <w:iCs/>
                <w:sz w:val="18"/>
                <w:lang w:val="bs-Latn-BA"/>
              </w:rPr>
              <w:t>4</w:t>
            </w:r>
            <w:r w:rsidR="00F56DA8">
              <w:rPr>
                <w:rFonts w:cs="Arial"/>
                <w:bCs/>
                <w:iCs/>
                <w:sz w:val="18"/>
                <w:lang w:val="bs-Latn-BA"/>
              </w:rPr>
              <w:t>.</w:t>
            </w:r>
            <w:r w:rsidRPr="00120152">
              <w:rPr>
                <w:rFonts w:cs="Arial"/>
                <w:bCs/>
                <w:iCs/>
                <w:sz w:val="18"/>
                <w:lang w:val="bs-Latn-BA"/>
              </w:rPr>
              <w:t>080</w:t>
            </w:r>
          </w:p>
        </w:tc>
        <w:tc>
          <w:tcPr>
            <w:tcW w:w="1559" w:type="dxa"/>
          </w:tcPr>
          <w:p w:rsidR="00A132D8" w:rsidRPr="00120152" w:rsidRDefault="00A132D8" w:rsidP="00A132D8">
            <w:pPr>
              <w:jc w:val="center"/>
              <w:rPr>
                <w:rFonts w:cs="Arial"/>
                <w:bCs/>
                <w:iCs/>
                <w:sz w:val="18"/>
                <w:lang w:val="bs-Latn-BA"/>
              </w:rPr>
            </w:pPr>
            <w:r w:rsidRPr="00120152">
              <w:rPr>
                <w:rFonts w:cs="Arial"/>
                <w:bCs/>
                <w:iCs/>
                <w:sz w:val="18"/>
                <w:lang w:val="bs-Latn-BA"/>
              </w:rPr>
              <w:t>3</w:t>
            </w:r>
            <w:r w:rsidR="00F56DA8">
              <w:rPr>
                <w:rFonts w:cs="Arial"/>
                <w:bCs/>
                <w:iCs/>
                <w:sz w:val="18"/>
                <w:lang w:val="bs-Latn-BA"/>
              </w:rPr>
              <w:t>.</w:t>
            </w:r>
            <w:r w:rsidRPr="00120152">
              <w:rPr>
                <w:rFonts w:cs="Arial"/>
                <w:bCs/>
                <w:iCs/>
                <w:sz w:val="18"/>
                <w:lang w:val="bs-Latn-BA"/>
              </w:rPr>
              <w:t>430</w:t>
            </w:r>
          </w:p>
        </w:tc>
        <w:tc>
          <w:tcPr>
            <w:tcW w:w="2268" w:type="dxa"/>
          </w:tcPr>
          <w:p w:rsidR="00A132D8" w:rsidRPr="00120152" w:rsidRDefault="00A132D8" w:rsidP="00A132D8">
            <w:pPr>
              <w:jc w:val="center"/>
              <w:rPr>
                <w:rFonts w:cs="Arial"/>
                <w:bCs/>
                <w:iCs/>
                <w:sz w:val="18"/>
                <w:lang w:val="bs-Latn-BA"/>
              </w:rPr>
            </w:pPr>
            <w:r w:rsidRPr="00120152">
              <w:rPr>
                <w:rFonts w:cs="Arial"/>
                <w:bCs/>
                <w:iCs/>
                <w:sz w:val="18"/>
                <w:lang w:val="bs-Latn-BA"/>
              </w:rPr>
              <w:t>84,1</w:t>
            </w:r>
          </w:p>
        </w:tc>
      </w:tr>
      <w:tr w:rsidR="00A132D8" w:rsidRPr="00120152" w:rsidTr="00A132D8">
        <w:trPr>
          <w:trHeight w:val="317"/>
        </w:trPr>
        <w:tc>
          <w:tcPr>
            <w:tcW w:w="1271" w:type="dxa"/>
            <w:hideMark/>
          </w:tcPr>
          <w:p w:rsidR="00A132D8" w:rsidRPr="00120152" w:rsidRDefault="00A132D8" w:rsidP="00A132D8">
            <w:pPr>
              <w:rPr>
                <w:rFonts w:cs="Arial"/>
                <w:bCs/>
                <w:iCs/>
                <w:sz w:val="18"/>
                <w:lang w:val="bs-Latn-BA"/>
              </w:rPr>
            </w:pPr>
            <w:r w:rsidRPr="00120152">
              <w:rPr>
                <w:rFonts w:cs="Arial"/>
                <w:bCs/>
                <w:iCs/>
                <w:sz w:val="18"/>
                <w:lang w:val="bs-Latn-BA"/>
              </w:rPr>
              <w:t>Crna Gora</w:t>
            </w:r>
          </w:p>
        </w:tc>
        <w:tc>
          <w:tcPr>
            <w:tcW w:w="1985" w:type="dxa"/>
            <w:hideMark/>
          </w:tcPr>
          <w:p w:rsidR="00A132D8" w:rsidRPr="00120152" w:rsidRDefault="00A132D8" w:rsidP="00A132D8">
            <w:pPr>
              <w:jc w:val="center"/>
              <w:rPr>
                <w:rFonts w:cs="Arial"/>
                <w:bCs/>
                <w:iCs/>
                <w:sz w:val="18"/>
                <w:lang w:val="bs-Latn-BA"/>
              </w:rPr>
            </w:pPr>
            <w:r w:rsidRPr="00120152">
              <w:rPr>
                <w:rFonts w:cs="Arial"/>
                <w:bCs/>
                <w:iCs/>
                <w:sz w:val="18"/>
                <w:lang w:val="bs-Latn-BA"/>
              </w:rPr>
              <w:t>15</w:t>
            </w:r>
            <w:r w:rsidR="00F56DA8">
              <w:rPr>
                <w:rFonts w:cs="Arial"/>
                <w:bCs/>
                <w:iCs/>
                <w:sz w:val="18"/>
                <w:lang w:val="bs-Latn-BA"/>
              </w:rPr>
              <w:t>.</w:t>
            </w:r>
            <w:r w:rsidRPr="00120152">
              <w:rPr>
                <w:rFonts w:cs="Arial"/>
                <w:bCs/>
                <w:iCs/>
                <w:sz w:val="18"/>
                <w:lang w:val="bs-Latn-BA"/>
              </w:rPr>
              <w:t>360</w:t>
            </w:r>
          </w:p>
        </w:tc>
        <w:tc>
          <w:tcPr>
            <w:tcW w:w="1559" w:type="dxa"/>
            <w:hideMark/>
          </w:tcPr>
          <w:p w:rsidR="00A132D8" w:rsidRPr="00120152" w:rsidRDefault="00A132D8" w:rsidP="00A132D8">
            <w:pPr>
              <w:jc w:val="center"/>
              <w:rPr>
                <w:rFonts w:cs="Arial"/>
                <w:bCs/>
                <w:iCs/>
                <w:sz w:val="18"/>
                <w:lang w:val="bs-Latn-BA"/>
              </w:rPr>
            </w:pPr>
            <w:r w:rsidRPr="00120152">
              <w:rPr>
                <w:rFonts w:cs="Arial"/>
                <w:bCs/>
                <w:iCs/>
                <w:sz w:val="18"/>
                <w:lang w:val="bs-Latn-BA"/>
              </w:rPr>
              <w:t>13</w:t>
            </w:r>
            <w:r w:rsidR="00F56DA8">
              <w:rPr>
                <w:rFonts w:cs="Arial"/>
                <w:bCs/>
                <w:iCs/>
                <w:sz w:val="18"/>
                <w:lang w:val="bs-Latn-BA"/>
              </w:rPr>
              <w:t>.</w:t>
            </w:r>
            <w:r w:rsidRPr="00120152">
              <w:rPr>
                <w:rFonts w:cs="Arial"/>
                <w:bCs/>
                <w:iCs/>
                <w:sz w:val="18"/>
                <w:lang w:val="bs-Latn-BA"/>
              </w:rPr>
              <w:t>314</w:t>
            </w:r>
          </w:p>
        </w:tc>
        <w:tc>
          <w:tcPr>
            <w:tcW w:w="2268" w:type="dxa"/>
            <w:hideMark/>
          </w:tcPr>
          <w:p w:rsidR="00A132D8" w:rsidRPr="00120152" w:rsidRDefault="00A132D8" w:rsidP="00A132D8">
            <w:pPr>
              <w:jc w:val="center"/>
              <w:rPr>
                <w:rFonts w:cs="Arial"/>
                <w:bCs/>
                <w:iCs/>
                <w:sz w:val="18"/>
                <w:lang w:val="bs-Latn-BA"/>
              </w:rPr>
            </w:pPr>
            <w:r w:rsidRPr="00120152">
              <w:rPr>
                <w:rFonts w:cs="Arial"/>
                <w:bCs/>
                <w:iCs/>
                <w:sz w:val="18"/>
                <w:lang w:val="bs-Latn-BA"/>
              </w:rPr>
              <w:t>84,0</w:t>
            </w:r>
          </w:p>
        </w:tc>
      </w:tr>
    </w:tbl>
    <w:p w:rsidR="00A132D8" w:rsidRPr="00120152" w:rsidRDefault="00A132D8" w:rsidP="00A132D8">
      <w:pPr>
        <w:jc w:val="both"/>
        <w:rPr>
          <w:rFonts w:cs="Arial"/>
          <w:iCs/>
          <w:sz w:val="18"/>
          <w:lang w:val="bs-Latn-BA"/>
        </w:rPr>
      </w:pPr>
    </w:p>
    <w:p w:rsidR="00A132D8" w:rsidRPr="00120152" w:rsidRDefault="00A132D8" w:rsidP="00A132D8">
      <w:pPr>
        <w:jc w:val="both"/>
        <w:rPr>
          <w:rFonts w:cs="Arial"/>
          <w:b/>
          <w:iCs/>
          <w:sz w:val="18"/>
          <w:lang w:val="bs-Latn-BA"/>
        </w:rPr>
      </w:pPr>
    </w:p>
    <w:p w:rsidR="00A132D8" w:rsidRPr="00120152" w:rsidRDefault="00A132D8" w:rsidP="00A132D8">
      <w:pPr>
        <w:jc w:val="both"/>
        <w:rPr>
          <w:rFonts w:cs="Arial"/>
          <w:b/>
          <w:iCs/>
          <w:szCs w:val="20"/>
          <w:lang w:val="bs-Latn-BA"/>
        </w:rPr>
      </w:pPr>
    </w:p>
    <w:p w:rsidR="00A132D8" w:rsidRPr="00120152" w:rsidRDefault="00A132D8" w:rsidP="00A132D8">
      <w:pPr>
        <w:jc w:val="both"/>
        <w:rPr>
          <w:rFonts w:cs="Arial"/>
          <w:b/>
          <w:iCs/>
          <w:szCs w:val="20"/>
          <w:lang w:val="bs-Latn-BA"/>
        </w:rPr>
      </w:pPr>
    </w:p>
    <w:p w:rsidR="00A132D8" w:rsidRPr="00120152" w:rsidRDefault="00A132D8" w:rsidP="00A132D8">
      <w:pPr>
        <w:jc w:val="both"/>
        <w:rPr>
          <w:rFonts w:cs="Arial"/>
          <w:b/>
          <w:iCs/>
          <w:szCs w:val="20"/>
          <w:lang w:val="bs-Latn-BA"/>
        </w:rPr>
      </w:pPr>
    </w:p>
    <w:p w:rsidR="00A132D8" w:rsidRPr="00120152" w:rsidRDefault="00A132D8" w:rsidP="00A132D8">
      <w:pPr>
        <w:jc w:val="right"/>
        <w:rPr>
          <w:i/>
          <w:iCs/>
          <w:color w:val="000000" w:themeColor="text1"/>
          <w:sz w:val="18"/>
          <w:lang w:val="bs-Latn-BA"/>
        </w:rPr>
      </w:pPr>
      <w:r w:rsidRPr="00120152">
        <w:rPr>
          <w:i/>
          <w:iCs/>
          <w:color w:val="000000" w:themeColor="text1"/>
          <w:sz w:val="18"/>
          <w:lang w:val="bs-Latn-BA"/>
        </w:rPr>
        <w:t>Izvor: Zavod za zapošljavanje Crne Gore</w:t>
      </w:r>
    </w:p>
    <w:p w:rsidR="00A132D8" w:rsidRDefault="00A132D8" w:rsidP="00A132D8">
      <w:pPr>
        <w:rPr>
          <w:rFonts w:cs="Arial"/>
          <w:iCs/>
          <w:sz w:val="22"/>
          <w:szCs w:val="22"/>
          <w:lang w:val="bs-Latn-BA"/>
        </w:rPr>
      </w:pPr>
    </w:p>
    <w:p w:rsidR="00A132D8" w:rsidRDefault="00A132D8" w:rsidP="005526BB">
      <w:pPr>
        <w:jc w:val="both"/>
        <w:rPr>
          <w:rFonts w:cs="Arial"/>
          <w:iCs/>
          <w:sz w:val="22"/>
          <w:szCs w:val="22"/>
          <w:lang w:val="bs-Latn-BA"/>
        </w:rPr>
      </w:pPr>
      <w:r w:rsidRPr="007F2200">
        <w:rPr>
          <w:rFonts w:cs="Arial"/>
          <w:iCs/>
          <w:sz w:val="22"/>
          <w:szCs w:val="22"/>
          <w:lang w:val="bs-Latn-BA"/>
        </w:rPr>
        <w:t>Ovo ukazuje na znatno dinamičnije tržište rada u Glavnom gradu u odnosu na ostatak Crne Gore, ali i na efikasnost politika zapošljavanja, pogotov</w:t>
      </w:r>
      <w:r w:rsidR="007F2200" w:rsidRPr="007F2200">
        <w:rPr>
          <w:rFonts w:cs="Arial"/>
          <w:iCs/>
          <w:sz w:val="22"/>
          <w:szCs w:val="22"/>
          <w:lang w:val="bs-Latn-BA"/>
        </w:rPr>
        <w:t>o</w:t>
      </w:r>
      <w:r w:rsidRPr="007F2200">
        <w:rPr>
          <w:rFonts w:cs="Arial"/>
          <w:iCs/>
          <w:sz w:val="22"/>
          <w:szCs w:val="22"/>
          <w:lang w:val="bs-Latn-BA"/>
        </w:rPr>
        <w:t xml:space="preserve"> </w:t>
      </w:r>
      <w:r w:rsidR="00212563" w:rsidRPr="007F2200">
        <w:rPr>
          <w:rFonts w:cs="Arial"/>
          <w:iCs/>
          <w:sz w:val="22"/>
          <w:szCs w:val="22"/>
          <w:lang w:val="bs-Latn-BA"/>
        </w:rPr>
        <w:t xml:space="preserve">u pogledu zapošljavanja </w:t>
      </w:r>
      <w:r w:rsidRPr="007F2200">
        <w:rPr>
          <w:rFonts w:cs="Arial"/>
          <w:iCs/>
          <w:sz w:val="22"/>
          <w:szCs w:val="22"/>
          <w:lang w:val="bs-Latn-BA"/>
        </w:rPr>
        <w:t>žena</w:t>
      </w:r>
      <w:r w:rsidR="00212563" w:rsidRPr="007F2200">
        <w:rPr>
          <w:rFonts w:cs="Arial"/>
          <w:iCs/>
          <w:sz w:val="22"/>
          <w:szCs w:val="22"/>
          <w:lang w:val="bs-Latn-BA"/>
        </w:rPr>
        <w:t xml:space="preserve"> koje predstavljaju 61,5% svih zaposlenih iz evidencije Zavoda za zapošljavanja u Glavnom gradu</w:t>
      </w:r>
      <w:r w:rsidRPr="007F2200">
        <w:rPr>
          <w:rFonts w:cs="Arial"/>
          <w:iCs/>
          <w:sz w:val="22"/>
          <w:szCs w:val="22"/>
          <w:lang w:val="bs-Latn-BA"/>
        </w:rPr>
        <w:t>. Ipak</w:t>
      </w:r>
      <w:r w:rsidRPr="004C43D3">
        <w:rPr>
          <w:rFonts w:cs="Arial"/>
          <w:iCs/>
          <w:sz w:val="22"/>
          <w:szCs w:val="22"/>
          <w:lang w:val="bs-Latn-BA"/>
        </w:rPr>
        <w:t>, ukupan broj zaposlenih u 2019. godini je niži u odnosu na broj zaposlenih u 2018. godini, za  preko</w:t>
      </w:r>
      <w:r w:rsidR="007F2200">
        <w:rPr>
          <w:rFonts w:cs="Arial"/>
          <w:iCs/>
          <w:sz w:val="22"/>
          <w:szCs w:val="22"/>
          <w:lang w:val="bs-Latn-BA"/>
        </w:rPr>
        <w:t xml:space="preserve"> </w:t>
      </w:r>
      <w:r w:rsidRPr="004C43D3">
        <w:rPr>
          <w:rFonts w:cs="Arial"/>
          <w:iCs/>
          <w:sz w:val="22"/>
          <w:szCs w:val="22"/>
          <w:lang w:val="bs-Latn-BA"/>
        </w:rPr>
        <w:t>15%, što je gotovo istovjetan učinak</w:t>
      </w:r>
      <w:r>
        <w:rPr>
          <w:rFonts w:cs="Arial"/>
          <w:iCs/>
          <w:sz w:val="22"/>
          <w:szCs w:val="22"/>
          <w:lang w:val="bs-Latn-BA"/>
        </w:rPr>
        <w:t xml:space="preserve"> sa učinkom na nivou Crne Gore.</w:t>
      </w:r>
    </w:p>
    <w:p w:rsidR="00A132D8" w:rsidRPr="00120152" w:rsidRDefault="00A132D8" w:rsidP="00A132D8">
      <w:pPr>
        <w:rPr>
          <w:rFonts w:cs="Arial"/>
          <w:iCs/>
          <w:sz w:val="22"/>
          <w:szCs w:val="22"/>
          <w:lang w:val="bs-Latn-BA"/>
        </w:rPr>
      </w:pPr>
    </w:p>
    <w:p w:rsidR="00C7285E" w:rsidRDefault="00C7285E" w:rsidP="00A132D8">
      <w:pPr>
        <w:jc w:val="both"/>
        <w:rPr>
          <w:rFonts w:cs="Arial"/>
          <w:iCs/>
          <w:szCs w:val="20"/>
          <w:lang w:val="bs-Latn-BA"/>
        </w:rPr>
      </w:pPr>
    </w:p>
    <w:p w:rsidR="00A132D8" w:rsidRDefault="00A132D8" w:rsidP="00A132D8">
      <w:pPr>
        <w:jc w:val="both"/>
        <w:rPr>
          <w:rFonts w:cs="Arial"/>
          <w:iCs/>
          <w:szCs w:val="20"/>
          <w:lang w:val="bs-Latn-BA"/>
        </w:rPr>
      </w:pPr>
      <w:r w:rsidRPr="00120152">
        <w:rPr>
          <w:rFonts w:cs="Arial"/>
          <w:iCs/>
          <w:szCs w:val="20"/>
          <w:lang w:val="bs-Latn-BA"/>
        </w:rPr>
        <w:t>Tabela 20: Zaposlena i nezaposlena lica i oglašena slobodna radna mjesta u 2019. godini</w:t>
      </w:r>
    </w:p>
    <w:p w:rsidR="005526BB" w:rsidRPr="00120152" w:rsidRDefault="005526BB" w:rsidP="00A132D8">
      <w:pPr>
        <w:jc w:val="both"/>
        <w:rPr>
          <w:rFonts w:cs="Arial"/>
          <w:iCs/>
          <w:szCs w:val="20"/>
          <w:lang w:val="bs-Latn-BA"/>
        </w:rPr>
      </w:pPr>
    </w:p>
    <w:tbl>
      <w:tblPr>
        <w:tblStyle w:val="PlainTable21"/>
        <w:tblW w:w="5000" w:type="pct"/>
        <w:tblLook w:val="04A0"/>
      </w:tblPr>
      <w:tblGrid>
        <w:gridCol w:w="2153"/>
        <w:gridCol w:w="664"/>
        <w:gridCol w:w="628"/>
        <w:gridCol w:w="664"/>
        <w:gridCol w:w="664"/>
        <w:gridCol w:w="630"/>
        <w:gridCol w:w="632"/>
        <w:gridCol w:w="632"/>
        <w:gridCol w:w="664"/>
        <w:gridCol w:w="630"/>
        <w:gridCol w:w="632"/>
        <w:gridCol w:w="864"/>
      </w:tblGrid>
      <w:tr w:rsidR="00A132D8" w:rsidRPr="00120152" w:rsidTr="00AA426D">
        <w:trPr>
          <w:cnfStyle w:val="100000000000"/>
          <w:trHeight w:val="300"/>
        </w:trPr>
        <w:tc>
          <w:tcPr>
            <w:cnfStyle w:val="001000000000"/>
            <w:tcW w:w="1139" w:type="pct"/>
            <w:tcBorders>
              <w:top w:val="nil"/>
              <w:left w:val="nil"/>
              <w:bottom w:val="nil"/>
              <w:right w:val="nil"/>
            </w:tcBorders>
            <w:shd w:val="clear" w:color="auto" w:fill="FFD966" w:themeFill="accent4" w:themeFillTint="99"/>
            <w:noWrap/>
            <w:hideMark/>
          </w:tcPr>
          <w:p w:rsidR="00A132D8" w:rsidRPr="00120152" w:rsidRDefault="00A132D8" w:rsidP="00A132D8">
            <w:pPr>
              <w:rPr>
                <w:rFonts w:eastAsia="Times New Roman" w:cs="Calibri"/>
                <w:b w:val="0"/>
                <w:bCs w:val="0"/>
                <w:color w:val="000000"/>
                <w:sz w:val="18"/>
                <w:lang w:val="bs-Latn-BA"/>
              </w:rPr>
            </w:pPr>
            <w:r w:rsidRPr="00120152">
              <w:rPr>
                <w:rFonts w:eastAsia="Times New Roman" w:cs="Calibri"/>
                <w:b w:val="0"/>
                <w:bCs w:val="0"/>
                <w:color w:val="000000"/>
                <w:sz w:val="18"/>
                <w:lang w:val="bs-Latn-BA"/>
              </w:rPr>
              <w:t>Stepen stručne spreme</w:t>
            </w:r>
          </w:p>
        </w:tc>
        <w:tc>
          <w:tcPr>
            <w:tcW w:w="351"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I</w:t>
            </w:r>
          </w:p>
        </w:tc>
        <w:tc>
          <w:tcPr>
            <w:tcW w:w="332"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II</w:t>
            </w:r>
          </w:p>
        </w:tc>
        <w:tc>
          <w:tcPr>
            <w:tcW w:w="351"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III</w:t>
            </w:r>
          </w:p>
        </w:tc>
        <w:tc>
          <w:tcPr>
            <w:tcW w:w="351"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IV</w:t>
            </w:r>
          </w:p>
        </w:tc>
        <w:tc>
          <w:tcPr>
            <w:tcW w:w="333"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V</w:t>
            </w:r>
          </w:p>
        </w:tc>
        <w:tc>
          <w:tcPr>
            <w:tcW w:w="334"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VI1</w:t>
            </w:r>
          </w:p>
        </w:tc>
        <w:tc>
          <w:tcPr>
            <w:tcW w:w="334"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VI2</w:t>
            </w:r>
          </w:p>
        </w:tc>
        <w:tc>
          <w:tcPr>
            <w:tcW w:w="351"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VII1</w:t>
            </w:r>
          </w:p>
        </w:tc>
        <w:tc>
          <w:tcPr>
            <w:tcW w:w="333"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VII2</w:t>
            </w:r>
          </w:p>
        </w:tc>
        <w:tc>
          <w:tcPr>
            <w:tcW w:w="334"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VIII</w:t>
            </w:r>
          </w:p>
        </w:tc>
        <w:tc>
          <w:tcPr>
            <w:tcW w:w="457" w:type="pct"/>
            <w:tcBorders>
              <w:top w:val="nil"/>
              <w:left w:val="nil"/>
              <w:bottom w:val="nil"/>
              <w:right w:val="nil"/>
            </w:tcBorders>
            <w:shd w:val="clear" w:color="auto" w:fill="FFD966" w:themeFill="accent4" w:themeFillTint="99"/>
            <w:noWrap/>
            <w:hideMark/>
          </w:tcPr>
          <w:p w:rsidR="00A132D8" w:rsidRPr="00120152" w:rsidRDefault="00A132D8" w:rsidP="00A132D8">
            <w:pPr>
              <w:jc w:val="center"/>
              <w:cnfStyle w:val="100000000000"/>
              <w:rPr>
                <w:rFonts w:eastAsia="Times New Roman" w:cs="Calibri"/>
                <w:b w:val="0"/>
                <w:bCs w:val="0"/>
                <w:color w:val="000000"/>
                <w:sz w:val="18"/>
                <w:lang w:val="bs-Latn-BA"/>
              </w:rPr>
            </w:pPr>
            <w:r w:rsidRPr="00120152">
              <w:rPr>
                <w:rFonts w:eastAsia="Times New Roman" w:cs="Calibri"/>
                <w:b w:val="0"/>
                <w:bCs w:val="0"/>
                <w:color w:val="000000"/>
                <w:sz w:val="18"/>
                <w:lang w:val="bs-Latn-BA"/>
              </w:rPr>
              <w:t>Ukupno</w:t>
            </w:r>
          </w:p>
        </w:tc>
      </w:tr>
      <w:tr w:rsidR="00A132D8" w:rsidRPr="00120152" w:rsidTr="00A132D8">
        <w:trPr>
          <w:cnfStyle w:val="000000100000"/>
          <w:trHeight w:val="300"/>
        </w:trPr>
        <w:tc>
          <w:tcPr>
            <w:cnfStyle w:val="001000000000"/>
            <w:tcW w:w="1139" w:type="pct"/>
            <w:tcBorders>
              <w:top w:val="nil"/>
              <w:left w:val="nil"/>
              <w:bottom w:val="single" w:sz="4" w:space="0" w:color="D9D9D9" w:themeColor="background1" w:themeShade="D9"/>
              <w:right w:val="nil"/>
            </w:tcBorders>
            <w:noWrap/>
            <w:hideMark/>
          </w:tcPr>
          <w:p w:rsidR="00A132D8" w:rsidRPr="00120152" w:rsidRDefault="00A132D8" w:rsidP="00A132D8">
            <w:pPr>
              <w:rPr>
                <w:rFonts w:eastAsia="Times New Roman" w:cs="Calibri"/>
                <w:b w:val="0"/>
                <w:bCs w:val="0"/>
                <w:color w:val="000000"/>
                <w:sz w:val="18"/>
                <w:lang w:val="bs-Latn-BA"/>
              </w:rPr>
            </w:pPr>
            <w:r w:rsidRPr="00120152">
              <w:rPr>
                <w:rFonts w:eastAsia="Times New Roman" w:cs="Calibri"/>
                <w:b w:val="0"/>
                <w:bCs w:val="0"/>
                <w:color w:val="000000"/>
                <w:sz w:val="18"/>
                <w:lang w:val="bs-Latn-BA"/>
              </w:rPr>
              <w:t>Zaposlena lica</w:t>
            </w:r>
          </w:p>
        </w:tc>
        <w:tc>
          <w:tcPr>
            <w:tcW w:w="351"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312</w:t>
            </w:r>
          </w:p>
        </w:tc>
        <w:tc>
          <w:tcPr>
            <w:tcW w:w="332"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66</w:t>
            </w:r>
          </w:p>
        </w:tc>
        <w:tc>
          <w:tcPr>
            <w:tcW w:w="351"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331</w:t>
            </w:r>
          </w:p>
        </w:tc>
        <w:tc>
          <w:tcPr>
            <w:tcW w:w="351"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1</w:t>
            </w:r>
            <w:r w:rsidR="00F56DA8">
              <w:rPr>
                <w:rFonts w:eastAsia="Times New Roman" w:cs="Calibri"/>
                <w:color w:val="000000"/>
                <w:sz w:val="18"/>
                <w:lang w:val="bs-Latn-BA"/>
              </w:rPr>
              <w:t>.</w:t>
            </w:r>
            <w:r w:rsidRPr="00120152">
              <w:rPr>
                <w:rFonts w:eastAsia="Times New Roman" w:cs="Calibri"/>
                <w:color w:val="000000"/>
                <w:sz w:val="18"/>
                <w:lang w:val="bs-Latn-BA"/>
              </w:rPr>
              <w:t>112</w:t>
            </w:r>
          </w:p>
        </w:tc>
        <w:tc>
          <w:tcPr>
            <w:tcW w:w="333"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37</w:t>
            </w:r>
          </w:p>
        </w:tc>
        <w:tc>
          <w:tcPr>
            <w:tcW w:w="334"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58</w:t>
            </w:r>
          </w:p>
        </w:tc>
        <w:tc>
          <w:tcPr>
            <w:tcW w:w="334"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1</w:t>
            </w:r>
          </w:p>
        </w:tc>
        <w:tc>
          <w:tcPr>
            <w:tcW w:w="351"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1</w:t>
            </w:r>
            <w:r w:rsidR="00F56DA8">
              <w:rPr>
                <w:rFonts w:eastAsia="Times New Roman" w:cs="Calibri"/>
                <w:color w:val="000000"/>
                <w:sz w:val="18"/>
                <w:lang w:val="bs-Latn-BA"/>
              </w:rPr>
              <w:t>.</w:t>
            </w:r>
            <w:r w:rsidRPr="00120152">
              <w:rPr>
                <w:rFonts w:eastAsia="Times New Roman" w:cs="Calibri"/>
                <w:color w:val="000000"/>
                <w:sz w:val="18"/>
                <w:lang w:val="bs-Latn-BA"/>
              </w:rPr>
              <w:t>435</w:t>
            </w:r>
          </w:p>
        </w:tc>
        <w:tc>
          <w:tcPr>
            <w:tcW w:w="333"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77</w:t>
            </w:r>
          </w:p>
        </w:tc>
        <w:tc>
          <w:tcPr>
            <w:tcW w:w="334"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1</w:t>
            </w:r>
          </w:p>
        </w:tc>
        <w:tc>
          <w:tcPr>
            <w:tcW w:w="457" w:type="pct"/>
            <w:tcBorders>
              <w:top w:val="nil"/>
              <w:left w:val="nil"/>
              <w:bottom w:val="single" w:sz="4" w:space="0" w:color="D9D9D9" w:themeColor="background1" w:themeShade="D9"/>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3</w:t>
            </w:r>
            <w:r w:rsidR="00F56DA8">
              <w:rPr>
                <w:rFonts w:eastAsia="Times New Roman" w:cs="Calibri"/>
                <w:color w:val="000000"/>
                <w:sz w:val="18"/>
                <w:lang w:val="bs-Latn-BA"/>
              </w:rPr>
              <w:t>.</w:t>
            </w:r>
            <w:r w:rsidRPr="00120152">
              <w:rPr>
                <w:rFonts w:eastAsia="Times New Roman" w:cs="Calibri"/>
                <w:color w:val="000000"/>
                <w:sz w:val="18"/>
                <w:lang w:val="bs-Latn-BA"/>
              </w:rPr>
              <w:t>430</w:t>
            </w:r>
          </w:p>
        </w:tc>
      </w:tr>
      <w:tr w:rsidR="00A132D8" w:rsidRPr="00120152" w:rsidTr="00A132D8">
        <w:trPr>
          <w:trHeight w:val="300"/>
        </w:trPr>
        <w:tc>
          <w:tcPr>
            <w:cnfStyle w:val="001000000000"/>
            <w:tcW w:w="1139" w:type="pct"/>
            <w:tcBorders>
              <w:top w:val="single" w:sz="4" w:space="0" w:color="D9D9D9" w:themeColor="background1" w:themeShade="D9"/>
              <w:left w:val="nil"/>
              <w:bottom w:val="single" w:sz="4" w:space="0" w:color="D9D9D9" w:themeColor="background1" w:themeShade="D9"/>
              <w:right w:val="nil"/>
            </w:tcBorders>
            <w:noWrap/>
            <w:hideMark/>
          </w:tcPr>
          <w:p w:rsidR="00A132D8" w:rsidRPr="00120152" w:rsidRDefault="00A132D8" w:rsidP="00A132D8">
            <w:pPr>
              <w:rPr>
                <w:rFonts w:eastAsia="Times New Roman" w:cs="Calibri"/>
                <w:b w:val="0"/>
                <w:bCs w:val="0"/>
                <w:color w:val="000000"/>
                <w:sz w:val="18"/>
                <w:lang w:val="bs-Latn-BA"/>
              </w:rPr>
            </w:pPr>
            <w:r w:rsidRPr="00120152">
              <w:rPr>
                <w:rFonts w:eastAsia="Times New Roman" w:cs="Calibri"/>
                <w:b w:val="0"/>
                <w:bCs w:val="0"/>
                <w:color w:val="000000"/>
                <w:sz w:val="18"/>
                <w:lang w:val="bs-Latn-BA"/>
              </w:rPr>
              <w:t>Nezaposlena lica</w:t>
            </w:r>
          </w:p>
        </w:tc>
        <w:tc>
          <w:tcPr>
            <w:tcW w:w="351"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2</w:t>
            </w:r>
            <w:r w:rsidR="00F56DA8">
              <w:rPr>
                <w:rFonts w:cs="Calibri"/>
                <w:color w:val="000000"/>
                <w:sz w:val="18"/>
                <w:lang w:val="bs-Latn-BA"/>
              </w:rPr>
              <w:t>.</w:t>
            </w:r>
            <w:r w:rsidRPr="00120152">
              <w:rPr>
                <w:rFonts w:cs="Calibri"/>
                <w:color w:val="000000"/>
                <w:sz w:val="18"/>
                <w:lang w:val="bs-Latn-BA"/>
              </w:rPr>
              <w:t>066</w:t>
            </w:r>
          </w:p>
        </w:tc>
        <w:tc>
          <w:tcPr>
            <w:tcW w:w="332"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263</w:t>
            </w:r>
          </w:p>
        </w:tc>
        <w:tc>
          <w:tcPr>
            <w:tcW w:w="351"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967</w:t>
            </w:r>
          </w:p>
        </w:tc>
        <w:tc>
          <w:tcPr>
            <w:tcW w:w="351"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1</w:t>
            </w:r>
            <w:r w:rsidR="00F56DA8">
              <w:rPr>
                <w:rFonts w:cs="Calibri"/>
                <w:color w:val="000000"/>
                <w:sz w:val="18"/>
                <w:lang w:val="bs-Latn-BA"/>
              </w:rPr>
              <w:t>.</w:t>
            </w:r>
            <w:r w:rsidRPr="00120152">
              <w:rPr>
                <w:rFonts w:cs="Calibri"/>
                <w:color w:val="000000"/>
                <w:sz w:val="18"/>
                <w:lang w:val="bs-Latn-BA"/>
              </w:rPr>
              <w:t>767</w:t>
            </w:r>
          </w:p>
        </w:tc>
        <w:tc>
          <w:tcPr>
            <w:tcW w:w="333"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37</w:t>
            </w:r>
          </w:p>
        </w:tc>
        <w:tc>
          <w:tcPr>
            <w:tcW w:w="334"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85</w:t>
            </w:r>
          </w:p>
        </w:tc>
        <w:tc>
          <w:tcPr>
            <w:tcW w:w="334"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0</w:t>
            </w:r>
          </w:p>
        </w:tc>
        <w:tc>
          <w:tcPr>
            <w:tcW w:w="351"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1</w:t>
            </w:r>
            <w:r w:rsidR="00F56DA8">
              <w:rPr>
                <w:rFonts w:cs="Calibri"/>
                <w:color w:val="000000"/>
                <w:sz w:val="18"/>
                <w:lang w:val="bs-Latn-BA"/>
              </w:rPr>
              <w:t>.</w:t>
            </w:r>
            <w:r w:rsidRPr="00120152">
              <w:rPr>
                <w:rFonts w:cs="Calibri"/>
                <w:color w:val="000000"/>
                <w:sz w:val="18"/>
                <w:lang w:val="bs-Latn-BA"/>
              </w:rPr>
              <w:t>990</w:t>
            </w:r>
          </w:p>
        </w:tc>
        <w:tc>
          <w:tcPr>
            <w:tcW w:w="333"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52</w:t>
            </w:r>
          </w:p>
        </w:tc>
        <w:tc>
          <w:tcPr>
            <w:tcW w:w="334" w:type="pct"/>
            <w:tcBorders>
              <w:top w:val="single" w:sz="4" w:space="0" w:color="D9D9D9" w:themeColor="background1" w:themeShade="D9"/>
              <w:left w:val="nil"/>
              <w:bottom w:val="single" w:sz="4" w:space="0" w:color="D9D9D9" w:themeColor="background1" w:themeShade="D9"/>
              <w:right w:val="nil"/>
            </w:tcBorders>
            <w:noWrap/>
            <w:vAlign w:val="bottom"/>
          </w:tcPr>
          <w:p w:rsidR="00A132D8" w:rsidRPr="00120152" w:rsidRDefault="00A132D8" w:rsidP="00A132D8">
            <w:pPr>
              <w:jc w:val="center"/>
              <w:cnfStyle w:val="000000000000"/>
              <w:rPr>
                <w:rFonts w:eastAsia="Times New Roman" w:cs="Calibri"/>
                <w:color w:val="000000"/>
                <w:sz w:val="18"/>
                <w:lang w:val="bs-Latn-BA"/>
              </w:rPr>
            </w:pPr>
            <w:r w:rsidRPr="00120152">
              <w:rPr>
                <w:rFonts w:cs="Calibri"/>
                <w:color w:val="000000"/>
                <w:sz w:val="18"/>
                <w:lang w:val="bs-Latn-BA"/>
              </w:rPr>
              <w:t>3</w:t>
            </w:r>
          </w:p>
        </w:tc>
        <w:tc>
          <w:tcPr>
            <w:tcW w:w="457" w:type="pct"/>
            <w:tcBorders>
              <w:top w:val="single" w:sz="4" w:space="0" w:color="D9D9D9" w:themeColor="background1" w:themeShade="D9"/>
              <w:left w:val="nil"/>
              <w:bottom w:val="single" w:sz="4" w:space="0" w:color="D9D9D9" w:themeColor="background1" w:themeShade="D9"/>
              <w:right w:val="nil"/>
            </w:tcBorders>
            <w:noWrap/>
          </w:tcPr>
          <w:p w:rsidR="00A132D8" w:rsidRPr="00120152" w:rsidRDefault="00A132D8" w:rsidP="00A132D8">
            <w:pPr>
              <w:jc w:val="center"/>
              <w:cnfStyle w:val="000000000000"/>
              <w:rPr>
                <w:rFonts w:eastAsia="Times New Roman" w:cs="Calibri"/>
                <w:color w:val="000000"/>
                <w:sz w:val="18"/>
                <w:lang w:val="bs-Latn-BA"/>
              </w:rPr>
            </w:pPr>
            <w:r w:rsidRPr="00120152">
              <w:rPr>
                <w:rFonts w:eastAsia="Times New Roman" w:cs="Calibri"/>
                <w:color w:val="000000"/>
                <w:sz w:val="18"/>
                <w:lang w:val="bs-Latn-BA"/>
              </w:rPr>
              <w:t>7</w:t>
            </w:r>
            <w:r w:rsidR="00F56DA8">
              <w:rPr>
                <w:rFonts w:eastAsia="Times New Roman" w:cs="Calibri"/>
                <w:color w:val="000000"/>
                <w:sz w:val="18"/>
                <w:lang w:val="bs-Latn-BA"/>
              </w:rPr>
              <w:t>.</w:t>
            </w:r>
            <w:r w:rsidRPr="00120152">
              <w:rPr>
                <w:rFonts w:eastAsia="Times New Roman" w:cs="Calibri"/>
                <w:color w:val="000000"/>
                <w:sz w:val="18"/>
                <w:lang w:val="bs-Latn-BA"/>
              </w:rPr>
              <w:t>230</w:t>
            </w:r>
          </w:p>
        </w:tc>
      </w:tr>
      <w:tr w:rsidR="00A132D8" w:rsidRPr="00120152" w:rsidTr="00C60E4D">
        <w:trPr>
          <w:cnfStyle w:val="000000100000"/>
          <w:trHeight w:val="300"/>
        </w:trPr>
        <w:tc>
          <w:tcPr>
            <w:cnfStyle w:val="001000000000"/>
            <w:tcW w:w="1139" w:type="pct"/>
            <w:tcBorders>
              <w:top w:val="single" w:sz="4" w:space="0" w:color="D9D9D9" w:themeColor="background1" w:themeShade="D9"/>
              <w:left w:val="nil"/>
              <w:bottom w:val="single" w:sz="4" w:space="0" w:color="DBDBDB" w:themeColor="accent3" w:themeTint="66"/>
              <w:right w:val="nil"/>
            </w:tcBorders>
            <w:noWrap/>
            <w:hideMark/>
          </w:tcPr>
          <w:p w:rsidR="00A132D8" w:rsidRPr="00120152" w:rsidRDefault="00A132D8" w:rsidP="00A132D8">
            <w:pPr>
              <w:rPr>
                <w:rFonts w:eastAsia="Times New Roman" w:cs="Calibri"/>
                <w:b w:val="0"/>
                <w:bCs w:val="0"/>
                <w:color w:val="000000"/>
                <w:sz w:val="18"/>
                <w:lang w:val="bs-Latn-BA"/>
              </w:rPr>
            </w:pPr>
            <w:r w:rsidRPr="00120152">
              <w:rPr>
                <w:rFonts w:eastAsia="Times New Roman" w:cs="Calibri"/>
                <w:b w:val="0"/>
                <w:bCs w:val="0"/>
                <w:color w:val="000000"/>
                <w:sz w:val="18"/>
                <w:lang w:val="bs-Latn-BA"/>
              </w:rPr>
              <w:t>Slobodna radna mjesta</w:t>
            </w:r>
          </w:p>
        </w:tc>
        <w:tc>
          <w:tcPr>
            <w:tcW w:w="351"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1</w:t>
            </w:r>
            <w:r w:rsidR="00F56DA8">
              <w:rPr>
                <w:rFonts w:cs="Calibri"/>
                <w:color w:val="000000"/>
                <w:sz w:val="18"/>
                <w:lang w:val="bs-Latn-BA"/>
              </w:rPr>
              <w:t>.</w:t>
            </w:r>
            <w:r w:rsidRPr="00120152">
              <w:rPr>
                <w:rFonts w:cs="Calibri"/>
                <w:color w:val="000000"/>
                <w:sz w:val="18"/>
                <w:lang w:val="bs-Latn-BA"/>
              </w:rPr>
              <w:t>826</w:t>
            </w:r>
          </w:p>
        </w:tc>
        <w:tc>
          <w:tcPr>
            <w:tcW w:w="332"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65</w:t>
            </w:r>
          </w:p>
        </w:tc>
        <w:tc>
          <w:tcPr>
            <w:tcW w:w="351"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1</w:t>
            </w:r>
            <w:r w:rsidR="00F56DA8">
              <w:rPr>
                <w:rFonts w:cs="Calibri"/>
                <w:color w:val="000000"/>
                <w:sz w:val="18"/>
                <w:lang w:val="bs-Latn-BA"/>
              </w:rPr>
              <w:t>.</w:t>
            </w:r>
            <w:r w:rsidRPr="00120152">
              <w:rPr>
                <w:rFonts w:cs="Calibri"/>
                <w:color w:val="000000"/>
                <w:sz w:val="18"/>
                <w:lang w:val="bs-Latn-BA"/>
              </w:rPr>
              <w:t>384</w:t>
            </w:r>
          </w:p>
        </w:tc>
        <w:tc>
          <w:tcPr>
            <w:tcW w:w="351"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2</w:t>
            </w:r>
            <w:r w:rsidR="00F56DA8">
              <w:rPr>
                <w:rFonts w:cs="Calibri"/>
                <w:color w:val="000000"/>
                <w:sz w:val="18"/>
                <w:lang w:val="bs-Latn-BA"/>
              </w:rPr>
              <w:t>.</w:t>
            </w:r>
            <w:r w:rsidRPr="00120152">
              <w:rPr>
                <w:rFonts w:cs="Calibri"/>
                <w:color w:val="000000"/>
                <w:sz w:val="18"/>
                <w:lang w:val="bs-Latn-BA"/>
              </w:rPr>
              <w:t>071</w:t>
            </w:r>
          </w:p>
        </w:tc>
        <w:tc>
          <w:tcPr>
            <w:tcW w:w="333"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58</w:t>
            </w:r>
          </w:p>
        </w:tc>
        <w:tc>
          <w:tcPr>
            <w:tcW w:w="334"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309</w:t>
            </w:r>
          </w:p>
        </w:tc>
        <w:tc>
          <w:tcPr>
            <w:tcW w:w="334"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0</w:t>
            </w:r>
          </w:p>
        </w:tc>
        <w:tc>
          <w:tcPr>
            <w:tcW w:w="351"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2</w:t>
            </w:r>
            <w:r w:rsidR="00F56DA8">
              <w:rPr>
                <w:rFonts w:cs="Calibri"/>
                <w:color w:val="000000"/>
                <w:sz w:val="18"/>
                <w:lang w:val="bs-Latn-BA"/>
              </w:rPr>
              <w:t>.</w:t>
            </w:r>
            <w:r w:rsidRPr="00120152">
              <w:rPr>
                <w:rFonts w:cs="Calibri"/>
                <w:color w:val="000000"/>
                <w:sz w:val="18"/>
                <w:lang w:val="bs-Latn-BA"/>
              </w:rPr>
              <w:t>197</w:t>
            </w:r>
          </w:p>
        </w:tc>
        <w:tc>
          <w:tcPr>
            <w:tcW w:w="333"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28</w:t>
            </w:r>
          </w:p>
        </w:tc>
        <w:tc>
          <w:tcPr>
            <w:tcW w:w="334" w:type="pct"/>
            <w:tcBorders>
              <w:top w:val="single" w:sz="4" w:space="0" w:color="D9D9D9" w:themeColor="background1" w:themeShade="D9"/>
              <w:left w:val="nil"/>
              <w:bottom w:val="single" w:sz="4" w:space="0" w:color="DBDBDB" w:themeColor="accent3" w:themeTint="66"/>
              <w:right w:val="nil"/>
            </w:tcBorders>
            <w:noWrap/>
            <w:vAlign w:val="bottom"/>
          </w:tcPr>
          <w:p w:rsidR="00A132D8" w:rsidRPr="00120152" w:rsidRDefault="00A132D8" w:rsidP="00A132D8">
            <w:pPr>
              <w:jc w:val="center"/>
              <w:cnfStyle w:val="000000100000"/>
              <w:rPr>
                <w:rFonts w:eastAsia="Times New Roman" w:cs="Calibri"/>
                <w:color w:val="000000"/>
                <w:sz w:val="18"/>
                <w:lang w:val="bs-Latn-BA"/>
              </w:rPr>
            </w:pPr>
            <w:r w:rsidRPr="00120152">
              <w:rPr>
                <w:rFonts w:cs="Calibri"/>
                <w:color w:val="000000"/>
                <w:sz w:val="18"/>
                <w:lang w:val="bs-Latn-BA"/>
              </w:rPr>
              <w:t>56</w:t>
            </w:r>
          </w:p>
        </w:tc>
        <w:tc>
          <w:tcPr>
            <w:tcW w:w="457" w:type="pct"/>
            <w:tcBorders>
              <w:top w:val="single" w:sz="4" w:space="0" w:color="D9D9D9" w:themeColor="background1" w:themeShade="D9"/>
              <w:left w:val="nil"/>
              <w:bottom w:val="single" w:sz="4" w:space="0" w:color="DBDBDB" w:themeColor="accent3" w:themeTint="66"/>
              <w:right w:val="nil"/>
            </w:tcBorders>
            <w:noWrap/>
          </w:tcPr>
          <w:p w:rsidR="00A132D8" w:rsidRPr="00120152" w:rsidRDefault="00A132D8" w:rsidP="00A132D8">
            <w:pPr>
              <w:jc w:val="center"/>
              <w:cnfStyle w:val="000000100000"/>
              <w:rPr>
                <w:rFonts w:eastAsia="Times New Roman" w:cs="Calibri"/>
                <w:color w:val="000000"/>
                <w:sz w:val="18"/>
                <w:lang w:val="bs-Latn-BA"/>
              </w:rPr>
            </w:pPr>
            <w:r w:rsidRPr="00120152">
              <w:rPr>
                <w:rFonts w:eastAsia="Times New Roman" w:cs="Calibri"/>
                <w:color w:val="000000"/>
                <w:sz w:val="18"/>
                <w:lang w:val="bs-Latn-BA"/>
              </w:rPr>
              <w:t>7</w:t>
            </w:r>
            <w:r w:rsidR="00F56DA8">
              <w:rPr>
                <w:rFonts w:eastAsia="Times New Roman" w:cs="Calibri"/>
                <w:color w:val="000000"/>
                <w:sz w:val="18"/>
                <w:lang w:val="bs-Latn-BA"/>
              </w:rPr>
              <w:t>.</w:t>
            </w:r>
            <w:r w:rsidRPr="00120152">
              <w:rPr>
                <w:rFonts w:eastAsia="Times New Roman" w:cs="Calibri"/>
                <w:color w:val="000000"/>
                <w:sz w:val="18"/>
                <w:lang w:val="bs-Latn-BA"/>
              </w:rPr>
              <w:t>994</w:t>
            </w:r>
          </w:p>
        </w:tc>
      </w:tr>
    </w:tbl>
    <w:p w:rsidR="00A132D8" w:rsidRPr="00120152" w:rsidRDefault="00A132D8" w:rsidP="00A132D8">
      <w:pPr>
        <w:jc w:val="right"/>
        <w:rPr>
          <w:i/>
          <w:iCs/>
          <w:color w:val="000000" w:themeColor="text1"/>
          <w:sz w:val="18"/>
          <w:lang w:val="bs-Latn-BA"/>
        </w:rPr>
      </w:pPr>
      <w:r w:rsidRPr="00120152">
        <w:rPr>
          <w:i/>
          <w:iCs/>
          <w:color w:val="000000" w:themeColor="text1"/>
          <w:sz w:val="18"/>
          <w:lang w:val="bs-Latn-BA"/>
        </w:rPr>
        <w:t>Izvor: Zavod za zapošljavanje Crne Gore</w:t>
      </w:r>
    </w:p>
    <w:p w:rsidR="00A132D8" w:rsidRPr="00120152" w:rsidRDefault="00A132D8" w:rsidP="00A132D8">
      <w:pPr>
        <w:jc w:val="both"/>
        <w:rPr>
          <w:rFonts w:cs="Arial"/>
          <w:i/>
          <w:iCs/>
          <w:sz w:val="18"/>
          <w:lang w:val="bs-Latn-BA"/>
        </w:rPr>
      </w:pPr>
    </w:p>
    <w:p w:rsidR="00A132D8" w:rsidRPr="002C1D5A" w:rsidRDefault="00A132D8" w:rsidP="005526BB">
      <w:pPr>
        <w:jc w:val="both"/>
        <w:rPr>
          <w:rFonts w:cs="Arial"/>
          <w:iCs/>
          <w:sz w:val="22"/>
          <w:szCs w:val="22"/>
        </w:rPr>
      </w:pPr>
      <w:r w:rsidRPr="00120152">
        <w:rPr>
          <w:rFonts w:cs="Arial"/>
          <w:iCs/>
          <w:sz w:val="22"/>
          <w:szCs w:val="22"/>
        </w:rPr>
        <w:t>Među licima koja su se zaposlila u 2019. godini preovlađuju lica sa VII1 stepenom stručne spreme (41,8% ukupno zaposlenih)</w:t>
      </w:r>
      <w:r w:rsidR="00EC5DB0">
        <w:rPr>
          <w:rFonts w:cs="Arial"/>
          <w:iCs/>
          <w:sz w:val="22"/>
          <w:szCs w:val="22"/>
        </w:rPr>
        <w:t>.</w:t>
      </w:r>
      <w:r w:rsidRPr="00120152">
        <w:rPr>
          <w:rFonts w:cs="Arial"/>
          <w:iCs/>
          <w:sz w:val="22"/>
          <w:szCs w:val="22"/>
        </w:rPr>
        <w:t xml:space="preserve"> Broj zaposlenih lica sa ovim stepenom stručne spreme iznosi čak 72,1% ukupnog broja nezaposlenih lica sa istom stručnom spremom. Po broju zaposlenih slijede lica sa IV stepenom stručne spreme (32,4% ukupno zaposlenih iz Glavnog grada). Zapošljavanje ovih lica u odnosu na ukupan broj nezaposlenih </w:t>
      </w:r>
      <w:r w:rsidR="00EC5DB0">
        <w:rPr>
          <w:rFonts w:cs="Arial"/>
          <w:iCs/>
          <w:sz w:val="22"/>
          <w:szCs w:val="22"/>
        </w:rPr>
        <w:t>l</w:t>
      </w:r>
      <w:r w:rsidRPr="00120152">
        <w:rPr>
          <w:rFonts w:cs="Arial"/>
          <w:iCs/>
          <w:sz w:val="22"/>
          <w:szCs w:val="22"/>
        </w:rPr>
        <w:t>ica sa istom stručnom spremom je takođe visoko i iznosi 62,9%. Najniži procenat zapošljavanja u odnosu na broj nezaposlenih je kod lica sa najnižim nivoom stručne spreme (svega 15,1% za lica sa I stepenom stručne spreme).</w:t>
      </w:r>
      <w:r>
        <w:rPr>
          <w:rFonts w:cs="Arial"/>
          <w:iCs/>
          <w:sz w:val="22"/>
          <w:szCs w:val="22"/>
        </w:rPr>
        <w:t xml:space="preserve"> </w:t>
      </w:r>
    </w:p>
    <w:p w:rsidR="00A132D8" w:rsidRPr="006A529A" w:rsidRDefault="00A132D8" w:rsidP="005526BB">
      <w:pPr>
        <w:jc w:val="both"/>
        <w:rPr>
          <w:rFonts w:cs="Arial"/>
          <w:i/>
          <w:iCs/>
          <w:sz w:val="22"/>
          <w:szCs w:val="22"/>
        </w:rPr>
      </w:pPr>
    </w:p>
    <w:p w:rsidR="00A132D8" w:rsidRDefault="00385224" w:rsidP="00385224">
      <w:pPr>
        <w:pStyle w:val="Heading3"/>
      </w:pPr>
      <w:r>
        <w:t xml:space="preserve">3.4.3 </w:t>
      </w:r>
      <w:r w:rsidR="008D6738" w:rsidRPr="001E3862">
        <w:t xml:space="preserve">Sezonsko zapošljavanje </w:t>
      </w:r>
    </w:p>
    <w:p w:rsidR="00A132D8" w:rsidRDefault="00A132D8" w:rsidP="005526BB">
      <w:pPr>
        <w:jc w:val="both"/>
        <w:rPr>
          <w:rFonts w:cs="Arial"/>
          <w:sz w:val="22"/>
          <w:szCs w:val="22"/>
        </w:rPr>
      </w:pPr>
    </w:p>
    <w:p w:rsidR="003A4948" w:rsidRPr="006A529A" w:rsidRDefault="003A4948" w:rsidP="005526BB">
      <w:pPr>
        <w:jc w:val="both"/>
        <w:rPr>
          <w:rFonts w:cs="Arial"/>
          <w:sz w:val="22"/>
          <w:szCs w:val="22"/>
        </w:rPr>
      </w:pPr>
      <w:r w:rsidRPr="006A529A">
        <w:rPr>
          <w:rFonts w:cs="Arial"/>
          <w:sz w:val="22"/>
          <w:szCs w:val="22"/>
        </w:rPr>
        <w:t xml:space="preserve">U </w:t>
      </w:r>
      <w:r>
        <w:rPr>
          <w:rFonts w:cs="Arial"/>
          <w:sz w:val="22"/>
          <w:szCs w:val="22"/>
        </w:rPr>
        <w:t>Podgorici</w:t>
      </w:r>
      <w:r w:rsidRPr="006A529A">
        <w:rPr>
          <w:rFonts w:cs="Arial"/>
          <w:sz w:val="22"/>
          <w:szCs w:val="22"/>
        </w:rPr>
        <w:t xml:space="preserve"> je tokom 2019. </w:t>
      </w:r>
      <w:r w:rsidR="00B75C04">
        <w:rPr>
          <w:rFonts w:cs="Arial"/>
          <w:sz w:val="22"/>
          <w:szCs w:val="22"/>
        </w:rPr>
        <w:t>godine bilo zaposleno ukupno 1</w:t>
      </w:r>
      <w:r w:rsidR="00F56DA8">
        <w:rPr>
          <w:rFonts w:cs="Arial"/>
          <w:sz w:val="22"/>
          <w:szCs w:val="22"/>
        </w:rPr>
        <w:t>.</w:t>
      </w:r>
      <w:r w:rsidR="00B75C04">
        <w:rPr>
          <w:rFonts w:cs="Arial"/>
          <w:sz w:val="22"/>
          <w:szCs w:val="22"/>
        </w:rPr>
        <w:t>900</w:t>
      </w:r>
      <w:r w:rsidRPr="006A529A">
        <w:rPr>
          <w:rFonts w:cs="Arial"/>
          <w:sz w:val="22"/>
          <w:szCs w:val="22"/>
        </w:rPr>
        <w:t xml:space="preserve"> osob</w:t>
      </w:r>
      <w:r w:rsidR="00B75C04">
        <w:rPr>
          <w:rFonts w:cs="Arial"/>
          <w:sz w:val="22"/>
          <w:szCs w:val="22"/>
        </w:rPr>
        <w:t>a</w:t>
      </w:r>
      <w:r w:rsidRPr="006A529A">
        <w:rPr>
          <w:rFonts w:cs="Arial"/>
          <w:sz w:val="22"/>
          <w:szCs w:val="22"/>
        </w:rPr>
        <w:t xml:space="preserve"> na sezonskim poslovima. Sezonsko zapošljavanje je u posmatranom periodu od 2016. godine bilježilo rast. U odnosu na 2016. godin</w:t>
      </w:r>
      <w:r w:rsidR="00EC5DB0">
        <w:rPr>
          <w:rFonts w:cs="Arial"/>
          <w:sz w:val="22"/>
          <w:szCs w:val="22"/>
        </w:rPr>
        <w:t>u</w:t>
      </w:r>
      <w:r w:rsidRPr="006A529A">
        <w:rPr>
          <w:rFonts w:cs="Arial"/>
          <w:sz w:val="22"/>
          <w:szCs w:val="22"/>
        </w:rPr>
        <w:t xml:space="preserve"> sezonsko zapošljavanje je poraslo skoro </w:t>
      </w:r>
      <w:r w:rsidR="00B75C04">
        <w:rPr>
          <w:rFonts w:cs="Arial"/>
          <w:sz w:val="22"/>
          <w:szCs w:val="22"/>
        </w:rPr>
        <w:t>2,9</w:t>
      </w:r>
      <w:r w:rsidRPr="006A529A">
        <w:rPr>
          <w:rFonts w:cs="Arial"/>
          <w:sz w:val="22"/>
          <w:szCs w:val="22"/>
        </w:rPr>
        <w:t xml:space="preserve"> puta u 2019. godini. </w:t>
      </w:r>
      <w:r w:rsidR="00B75C04">
        <w:rPr>
          <w:rFonts w:cs="Arial"/>
          <w:sz w:val="22"/>
          <w:szCs w:val="22"/>
        </w:rPr>
        <w:t>Međutim, u 2020. usljed nepovoljnih ekonomskih kretanja, naročito u sektoru turizma, broj lica uključen</w:t>
      </w:r>
      <w:r w:rsidR="00EC5DB0">
        <w:rPr>
          <w:rFonts w:cs="Arial"/>
          <w:sz w:val="22"/>
          <w:szCs w:val="22"/>
        </w:rPr>
        <w:t>ih</w:t>
      </w:r>
      <w:r w:rsidR="00B75C04">
        <w:rPr>
          <w:rFonts w:cs="Arial"/>
          <w:sz w:val="22"/>
          <w:szCs w:val="22"/>
        </w:rPr>
        <w:t xml:space="preserve"> u sezonsko zapošljavanje je na kraju drugog kvartala 2020. iznosio 108, što je višestruko manje u odnosu na 2019. godinu. </w:t>
      </w:r>
    </w:p>
    <w:p w:rsidR="00637E5D" w:rsidRDefault="00637E5D">
      <w:pPr>
        <w:rPr>
          <w:rFonts w:eastAsia="Times New Roman" w:cs="Calibri"/>
          <w:color w:val="000000"/>
          <w:szCs w:val="20"/>
          <w:lang w:val="sl-SI" w:eastAsia="sl-SI"/>
        </w:rPr>
      </w:pPr>
    </w:p>
    <w:p w:rsidR="002A2E0B" w:rsidRDefault="002A2E0B" w:rsidP="00DE28B8">
      <w:pPr>
        <w:jc w:val="both"/>
        <w:rPr>
          <w:rFonts w:eastAsia="Times New Roman" w:cs="Calibri"/>
          <w:color w:val="000000"/>
          <w:szCs w:val="20"/>
          <w:lang w:val="sl-SI" w:eastAsia="sl-SI"/>
        </w:rPr>
      </w:pPr>
      <w:r>
        <w:rPr>
          <w:rFonts w:eastAsia="Times New Roman" w:cs="Calibri"/>
          <w:color w:val="000000"/>
          <w:szCs w:val="20"/>
          <w:lang w:val="sl-SI" w:eastAsia="sl-SI"/>
        </w:rPr>
        <w:t>Tabela 21</w:t>
      </w:r>
      <w:r w:rsidRPr="00C75D9B">
        <w:rPr>
          <w:rFonts w:eastAsia="Times New Roman" w:cs="Calibri"/>
          <w:color w:val="000000"/>
          <w:szCs w:val="20"/>
          <w:lang w:val="sl-SI" w:eastAsia="sl-SI"/>
        </w:rPr>
        <w:t>: Sezonsko zapošljavanje</w:t>
      </w:r>
    </w:p>
    <w:p w:rsidR="00195BBF" w:rsidRPr="00C75D9B" w:rsidRDefault="00195BBF" w:rsidP="00DE28B8">
      <w:pPr>
        <w:jc w:val="both"/>
        <w:rPr>
          <w:rFonts w:cs="Arial"/>
          <w:szCs w:val="20"/>
        </w:rPr>
      </w:pPr>
    </w:p>
    <w:tbl>
      <w:tblPr>
        <w:tblStyle w:val="Navadnatabela21"/>
        <w:tblW w:w="4661" w:type="pct"/>
        <w:tblLook w:val="04A0"/>
      </w:tblPr>
      <w:tblGrid>
        <w:gridCol w:w="2108"/>
        <w:gridCol w:w="1677"/>
        <w:gridCol w:w="1677"/>
        <w:gridCol w:w="1677"/>
        <w:gridCol w:w="1677"/>
      </w:tblGrid>
      <w:tr w:rsidR="003A4948" w:rsidRPr="00D5646D" w:rsidTr="00587108">
        <w:trPr>
          <w:cnfStyle w:val="100000000000"/>
          <w:trHeight w:val="256"/>
        </w:trPr>
        <w:tc>
          <w:tcPr>
            <w:cnfStyle w:val="001000000000"/>
            <w:tcW w:w="1195" w:type="pct"/>
            <w:shd w:val="clear" w:color="auto" w:fill="FFD966" w:themeFill="accent4" w:themeFillTint="99"/>
            <w:noWrap/>
            <w:hideMark/>
          </w:tcPr>
          <w:p w:rsidR="003A4948" w:rsidRPr="00195BBF" w:rsidRDefault="003A4948" w:rsidP="00DE28B8">
            <w:pPr>
              <w:jc w:val="center"/>
              <w:rPr>
                <w:rFonts w:eastAsia="Times New Roman" w:cs="Calibri"/>
                <w:color w:val="000000"/>
                <w:sz w:val="18"/>
                <w:lang w:val="en-US"/>
              </w:rPr>
            </w:pPr>
            <w:r w:rsidRPr="00195BBF">
              <w:rPr>
                <w:rFonts w:eastAsia="Times New Roman" w:cs="Calibri"/>
                <w:color w:val="000000"/>
                <w:sz w:val="18"/>
                <w:lang w:val="en-US"/>
              </w:rPr>
              <w:t> </w:t>
            </w:r>
          </w:p>
        </w:tc>
        <w:tc>
          <w:tcPr>
            <w:tcW w:w="951" w:type="pct"/>
            <w:shd w:val="clear" w:color="auto" w:fill="FFD966" w:themeFill="accent4" w:themeFillTint="99"/>
            <w:noWrap/>
            <w:hideMark/>
          </w:tcPr>
          <w:p w:rsidR="003A4948" w:rsidRPr="00C60E4D" w:rsidRDefault="003A4948" w:rsidP="00DE28B8">
            <w:pPr>
              <w:jc w:val="center"/>
              <w:cnfStyle w:val="100000000000"/>
              <w:rPr>
                <w:rFonts w:eastAsia="Times New Roman" w:cs="Calibri"/>
                <w:b w:val="0"/>
                <w:bCs w:val="0"/>
                <w:color w:val="000000"/>
                <w:sz w:val="18"/>
                <w:lang w:val="en-US"/>
              </w:rPr>
            </w:pPr>
            <w:r w:rsidRPr="00C60E4D">
              <w:rPr>
                <w:rFonts w:eastAsia="Times New Roman" w:cs="Calibri"/>
                <w:b w:val="0"/>
                <w:bCs w:val="0"/>
                <w:color w:val="000000"/>
                <w:sz w:val="18"/>
                <w:lang w:val="en-US"/>
              </w:rPr>
              <w:t>2016</w:t>
            </w:r>
            <w:r w:rsidR="00B15997">
              <w:rPr>
                <w:rFonts w:eastAsia="Times New Roman" w:cs="Calibri"/>
                <w:b w:val="0"/>
                <w:bCs w:val="0"/>
                <w:color w:val="000000"/>
                <w:sz w:val="18"/>
                <w:lang w:val="en-US"/>
              </w:rPr>
              <w:t>.</w:t>
            </w:r>
          </w:p>
        </w:tc>
        <w:tc>
          <w:tcPr>
            <w:tcW w:w="951" w:type="pct"/>
            <w:shd w:val="clear" w:color="auto" w:fill="FFD966" w:themeFill="accent4" w:themeFillTint="99"/>
            <w:noWrap/>
            <w:hideMark/>
          </w:tcPr>
          <w:p w:rsidR="003A4948" w:rsidRPr="00C60E4D" w:rsidRDefault="003A4948" w:rsidP="00DE28B8">
            <w:pPr>
              <w:jc w:val="center"/>
              <w:cnfStyle w:val="100000000000"/>
              <w:rPr>
                <w:rFonts w:eastAsia="Times New Roman" w:cs="Calibri"/>
                <w:b w:val="0"/>
                <w:bCs w:val="0"/>
                <w:color w:val="000000"/>
                <w:sz w:val="18"/>
                <w:lang w:val="en-US"/>
              </w:rPr>
            </w:pPr>
            <w:r w:rsidRPr="00C60E4D">
              <w:rPr>
                <w:rFonts w:eastAsia="Times New Roman" w:cs="Calibri"/>
                <w:b w:val="0"/>
                <w:bCs w:val="0"/>
                <w:color w:val="000000"/>
                <w:sz w:val="18"/>
                <w:lang w:val="en-US"/>
              </w:rPr>
              <w:t>2018</w:t>
            </w:r>
            <w:r w:rsidR="00B15997">
              <w:rPr>
                <w:rFonts w:eastAsia="Times New Roman" w:cs="Calibri"/>
                <w:b w:val="0"/>
                <w:bCs w:val="0"/>
                <w:color w:val="000000"/>
                <w:sz w:val="18"/>
                <w:lang w:val="en-US"/>
              </w:rPr>
              <w:t>.</w:t>
            </w:r>
          </w:p>
        </w:tc>
        <w:tc>
          <w:tcPr>
            <w:tcW w:w="951" w:type="pct"/>
            <w:shd w:val="clear" w:color="auto" w:fill="FFD966" w:themeFill="accent4" w:themeFillTint="99"/>
            <w:noWrap/>
            <w:hideMark/>
          </w:tcPr>
          <w:p w:rsidR="003A4948" w:rsidRPr="00C60E4D" w:rsidRDefault="003A4948" w:rsidP="00DE28B8">
            <w:pPr>
              <w:jc w:val="center"/>
              <w:cnfStyle w:val="100000000000"/>
              <w:rPr>
                <w:rFonts w:eastAsia="Times New Roman" w:cs="Calibri"/>
                <w:b w:val="0"/>
                <w:bCs w:val="0"/>
                <w:color w:val="000000"/>
                <w:sz w:val="18"/>
                <w:lang w:val="en-US"/>
              </w:rPr>
            </w:pPr>
            <w:r w:rsidRPr="00C60E4D">
              <w:rPr>
                <w:rFonts w:eastAsia="Times New Roman" w:cs="Calibri"/>
                <w:b w:val="0"/>
                <w:bCs w:val="0"/>
                <w:color w:val="000000"/>
                <w:sz w:val="18"/>
                <w:lang w:val="en-US"/>
              </w:rPr>
              <w:t>2019</w:t>
            </w:r>
            <w:r w:rsidR="00B15997">
              <w:rPr>
                <w:rFonts w:eastAsia="Times New Roman" w:cs="Calibri"/>
                <w:b w:val="0"/>
                <w:bCs w:val="0"/>
                <w:color w:val="000000"/>
                <w:sz w:val="18"/>
                <w:lang w:val="en-US"/>
              </w:rPr>
              <w:t>.</w:t>
            </w:r>
          </w:p>
        </w:tc>
        <w:tc>
          <w:tcPr>
            <w:tcW w:w="951" w:type="pct"/>
            <w:shd w:val="clear" w:color="auto" w:fill="FFD966" w:themeFill="accent4" w:themeFillTint="99"/>
          </w:tcPr>
          <w:p w:rsidR="003A4948" w:rsidRPr="00C60E4D" w:rsidRDefault="003A4948" w:rsidP="00DE28B8">
            <w:pPr>
              <w:jc w:val="center"/>
              <w:cnfStyle w:val="100000000000"/>
              <w:rPr>
                <w:rFonts w:eastAsia="Times New Roman" w:cs="Calibri"/>
                <w:b w:val="0"/>
                <w:bCs w:val="0"/>
                <w:color w:val="000000"/>
                <w:sz w:val="18"/>
                <w:lang w:val="en-US"/>
              </w:rPr>
            </w:pPr>
            <w:r w:rsidRPr="00C60E4D">
              <w:rPr>
                <w:rFonts w:eastAsia="Times New Roman" w:cs="Calibri"/>
                <w:b w:val="0"/>
                <w:bCs w:val="0"/>
                <w:color w:val="000000"/>
                <w:sz w:val="18"/>
                <w:lang w:val="en-US"/>
              </w:rPr>
              <w:t>VI 2020</w:t>
            </w:r>
            <w:r w:rsidR="00B15997">
              <w:rPr>
                <w:rFonts w:eastAsia="Times New Roman" w:cs="Calibri"/>
                <w:b w:val="0"/>
                <w:bCs w:val="0"/>
                <w:color w:val="000000"/>
                <w:sz w:val="18"/>
                <w:lang w:val="en-US"/>
              </w:rPr>
              <w:t>.</w:t>
            </w:r>
          </w:p>
        </w:tc>
      </w:tr>
      <w:tr w:rsidR="003A4948" w:rsidRPr="00D5646D" w:rsidTr="00AA426D">
        <w:trPr>
          <w:cnfStyle w:val="000000100000"/>
          <w:trHeight w:val="256"/>
        </w:trPr>
        <w:tc>
          <w:tcPr>
            <w:cnfStyle w:val="001000000000"/>
            <w:tcW w:w="1195" w:type="pct"/>
            <w:noWrap/>
            <w:hideMark/>
          </w:tcPr>
          <w:p w:rsidR="003A4948" w:rsidRPr="00F73600" w:rsidRDefault="003A4948" w:rsidP="00F73600">
            <w:pPr>
              <w:rPr>
                <w:rFonts w:eastAsia="Times New Roman" w:cs="Calibri"/>
                <w:b w:val="0"/>
                <w:bCs w:val="0"/>
                <w:color w:val="000000"/>
                <w:sz w:val="18"/>
                <w:lang w:val="en-US"/>
              </w:rPr>
            </w:pPr>
            <w:r>
              <w:rPr>
                <w:rFonts w:eastAsia="Times New Roman" w:cs="Calibri"/>
                <w:b w:val="0"/>
                <w:bCs w:val="0"/>
                <w:color w:val="000000"/>
                <w:sz w:val="18"/>
                <w:lang w:val="en-US"/>
              </w:rPr>
              <w:t>Podgorica</w:t>
            </w:r>
          </w:p>
        </w:tc>
        <w:tc>
          <w:tcPr>
            <w:tcW w:w="951" w:type="pct"/>
            <w:noWrap/>
          </w:tcPr>
          <w:p w:rsidR="003A4948" w:rsidRPr="00195BBF" w:rsidRDefault="003A4948" w:rsidP="00DE28B8">
            <w:pPr>
              <w:jc w:val="center"/>
              <w:cnfStyle w:val="000000100000"/>
              <w:rPr>
                <w:rFonts w:eastAsia="Times New Roman" w:cs="Calibri"/>
                <w:color w:val="000000"/>
                <w:sz w:val="18"/>
                <w:lang w:val="en-US"/>
              </w:rPr>
            </w:pPr>
            <w:r>
              <w:rPr>
                <w:rFonts w:eastAsia="Times New Roman" w:cs="Calibri"/>
                <w:color w:val="000000"/>
                <w:sz w:val="18"/>
                <w:lang w:val="en-US"/>
              </w:rPr>
              <w:t>654</w:t>
            </w:r>
          </w:p>
        </w:tc>
        <w:tc>
          <w:tcPr>
            <w:tcW w:w="951" w:type="pct"/>
            <w:noWrap/>
          </w:tcPr>
          <w:p w:rsidR="003A4948" w:rsidRPr="00195BBF" w:rsidRDefault="003A4948" w:rsidP="00DE28B8">
            <w:pPr>
              <w:jc w:val="center"/>
              <w:cnfStyle w:val="000000100000"/>
              <w:rPr>
                <w:rFonts w:eastAsia="Times New Roman" w:cs="Calibri"/>
                <w:color w:val="000000"/>
                <w:sz w:val="18"/>
                <w:lang w:val="en-US"/>
              </w:rPr>
            </w:pPr>
            <w:r>
              <w:rPr>
                <w:rFonts w:eastAsia="Times New Roman" w:cs="Calibri"/>
                <w:color w:val="000000"/>
                <w:sz w:val="18"/>
                <w:lang w:val="en-US"/>
              </w:rPr>
              <w:t>810</w:t>
            </w:r>
          </w:p>
        </w:tc>
        <w:tc>
          <w:tcPr>
            <w:tcW w:w="951" w:type="pct"/>
            <w:noWrap/>
          </w:tcPr>
          <w:p w:rsidR="003A4948" w:rsidRPr="00195BBF" w:rsidRDefault="003A4948" w:rsidP="00DE28B8">
            <w:pPr>
              <w:jc w:val="center"/>
              <w:cnfStyle w:val="000000100000"/>
              <w:rPr>
                <w:rFonts w:eastAsia="Times New Roman" w:cs="Calibri"/>
                <w:color w:val="000000"/>
                <w:sz w:val="18"/>
                <w:lang w:val="en-US"/>
              </w:rPr>
            </w:pPr>
            <w:r>
              <w:rPr>
                <w:rFonts w:eastAsia="Times New Roman" w:cs="Calibri"/>
                <w:color w:val="000000"/>
                <w:sz w:val="18"/>
                <w:lang w:val="en-US"/>
              </w:rPr>
              <w:t>1</w:t>
            </w:r>
            <w:r w:rsidR="003462C3">
              <w:rPr>
                <w:rFonts w:eastAsia="Times New Roman" w:cs="Calibri"/>
                <w:color w:val="000000"/>
                <w:sz w:val="18"/>
                <w:lang w:val="en-US"/>
              </w:rPr>
              <w:t>.</w:t>
            </w:r>
            <w:r>
              <w:rPr>
                <w:rFonts w:eastAsia="Times New Roman" w:cs="Calibri"/>
                <w:color w:val="000000"/>
                <w:sz w:val="18"/>
                <w:lang w:val="en-US"/>
              </w:rPr>
              <w:t>900</w:t>
            </w:r>
          </w:p>
        </w:tc>
        <w:tc>
          <w:tcPr>
            <w:tcW w:w="951" w:type="pct"/>
          </w:tcPr>
          <w:p w:rsidR="003A4948" w:rsidRPr="00195BBF" w:rsidRDefault="003A4948" w:rsidP="00DE28B8">
            <w:pPr>
              <w:jc w:val="center"/>
              <w:cnfStyle w:val="000000100000"/>
              <w:rPr>
                <w:rFonts w:eastAsia="Times New Roman" w:cs="Calibri"/>
                <w:color w:val="000000"/>
                <w:sz w:val="18"/>
                <w:lang w:val="en-US"/>
              </w:rPr>
            </w:pPr>
            <w:r>
              <w:rPr>
                <w:rFonts w:eastAsia="Times New Roman" w:cs="Calibri"/>
                <w:color w:val="000000"/>
                <w:sz w:val="18"/>
                <w:lang w:val="en-US"/>
              </w:rPr>
              <w:t>108</w:t>
            </w:r>
          </w:p>
        </w:tc>
      </w:tr>
      <w:tr w:rsidR="003A4948" w:rsidRPr="00D5646D" w:rsidTr="00AA426D">
        <w:trPr>
          <w:trHeight w:val="256"/>
        </w:trPr>
        <w:tc>
          <w:tcPr>
            <w:cnfStyle w:val="001000000000"/>
            <w:tcW w:w="1195" w:type="pct"/>
            <w:noWrap/>
            <w:hideMark/>
          </w:tcPr>
          <w:p w:rsidR="003A4948" w:rsidRPr="00F73600" w:rsidRDefault="003A4948" w:rsidP="00F73600">
            <w:pPr>
              <w:rPr>
                <w:rFonts w:eastAsia="Times New Roman" w:cs="Calibri"/>
                <w:b w:val="0"/>
                <w:bCs w:val="0"/>
                <w:color w:val="000000"/>
                <w:sz w:val="18"/>
                <w:lang w:val="en-US"/>
              </w:rPr>
            </w:pPr>
            <w:r w:rsidRPr="00F73600">
              <w:rPr>
                <w:rFonts w:eastAsia="Times New Roman" w:cs="Calibri"/>
                <w:b w:val="0"/>
                <w:bCs w:val="0"/>
                <w:color w:val="000000"/>
                <w:sz w:val="18"/>
                <w:lang w:val="en-US"/>
              </w:rPr>
              <w:t>Crna Gora</w:t>
            </w:r>
          </w:p>
        </w:tc>
        <w:tc>
          <w:tcPr>
            <w:tcW w:w="951" w:type="pct"/>
            <w:noWrap/>
            <w:hideMark/>
          </w:tcPr>
          <w:p w:rsidR="003A4948" w:rsidRPr="00195BBF" w:rsidRDefault="003A4948" w:rsidP="00DE28B8">
            <w:pPr>
              <w:jc w:val="center"/>
              <w:cnfStyle w:val="000000000000"/>
              <w:rPr>
                <w:rFonts w:eastAsia="Times New Roman" w:cs="Calibri"/>
                <w:color w:val="000000"/>
                <w:sz w:val="18"/>
                <w:lang w:val="en-US"/>
              </w:rPr>
            </w:pPr>
            <w:r w:rsidRPr="00195BBF">
              <w:rPr>
                <w:rFonts w:eastAsia="Times New Roman" w:cs="Calibri"/>
                <w:color w:val="000000"/>
                <w:sz w:val="18"/>
                <w:lang w:val="en-US"/>
              </w:rPr>
              <w:t>9</w:t>
            </w:r>
            <w:r w:rsidR="00B15997">
              <w:rPr>
                <w:rFonts w:eastAsia="Times New Roman" w:cs="Calibri"/>
                <w:color w:val="000000"/>
                <w:sz w:val="18"/>
                <w:lang w:val="en-US"/>
              </w:rPr>
              <w:t>.</w:t>
            </w:r>
            <w:r w:rsidRPr="00195BBF">
              <w:rPr>
                <w:rFonts w:eastAsia="Times New Roman" w:cs="Calibri"/>
                <w:color w:val="000000"/>
                <w:sz w:val="18"/>
                <w:lang w:val="en-US"/>
              </w:rPr>
              <w:t>551</w:t>
            </w:r>
          </w:p>
        </w:tc>
        <w:tc>
          <w:tcPr>
            <w:tcW w:w="951" w:type="pct"/>
            <w:noWrap/>
            <w:hideMark/>
          </w:tcPr>
          <w:p w:rsidR="003A4948" w:rsidRPr="00195BBF" w:rsidRDefault="003A4948" w:rsidP="00DE28B8">
            <w:pPr>
              <w:jc w:val="center"/>
              <w:cnfStyle w:val="000000000000"/>
              <w:rPr>
                <w:rFonts w:eastAsia="Times New Roman" w:cs="Calibri"/>
                <w:color w:val="000000"/>
                <w:sz w:val="18"/>
                <w:lang w:val="en-US"/>
              </w:rPr>
            </w:pPr>
            <w:r w:rsidRPr="00195BBF">
              <w:rPr>
                <w:rFonts w:eastAsia="Times New Roman" w:cs="Calibri"/>
                <w:color w:val="000000"/>
                <w:sz w:val="18"/>
                <w:lang w:val="en-US"/>
              </w:rPr>
              <w:t>9</w:t>
            </w:r>
            <w:r w:rsidR="00B15997">
              <w:rPr>
                <w:rFonts w:eastAsia="Times New Roman" w:cs="Calibri"/>
                <w:color w:val="000000"/>
                <w:sz w:val="18"/>
                <w:lang w:val="en-US"/>
              </w:rPr>
              <w:t>.</w:t>
            </w:r>
            <w:r w:rsidRPr="00195BBF">
              <w:rPr>
                <w:rFonts w:eastAsia="Times New Roman" w:cs="Calibri"/>
                <w:color w:val="000000"/>
                <w:sz w:val="18"/>
                <w:lang w:val="en-US"/>
              </w:rPr>
              <w:t>229</w:t>
            </w:r>
          </w:p>
        </w:tc>
        <w:tc>
          <w:tcPr>
            <w:tcW w:w="951" w:type="pct"/>
            <w:noWrap/>
            <w:hideMark/>
          </w:tcPr>
          <w:p w:rsidR="003A4948" w:rsidRPr="00195BBF" w:rsidRDefault="003A4948" w:rsidP="00DE28B8">
            <w:pPr>
              <w:jc w:val="center"/>
              <w:cnfStyle w:val="000000000000"/>
              <w:rPr>
                <w:rFonts w:eastAsia="Times New Roman" w:cs="Calibri"/>
                <w:color w:val="000000"/>
                <w:sz w:val="18"/>
                <w:lang w:val="en-US"/>
              </w:rPr>
            </w:pPr>
            <w:r w:rsidRPr="00195BBF">
              <w:rPr>
                <w:rFonts w:eastAsia="Times New Roman" w:cs="Calibri"/>
                <w:color w:val="000000"/>
                <w:sz w:val="18"/>
                <w:lang w:val="en-US"/>
              </w:rPr>
              <w:t>11</w:t>
            </w:r>
            <w:r w:rsidR="00B15997">
              <w:rPr>
                <w:rFonts w:eastAsia="Times New Roman" w:cs="Calibri"/>
                <w:color w:val="000000"/>
                <w:sz w:val="18"/>
                <w:lang w:val="en-US"/>
              </w:rPr>
              <w:t>.</w:t>
            </w:r>
            <w:r w:rsidRPr="00195BBF">
              <w:rPr>
                <w:rFonts w:eastAsia="Times New Roman" w:cs="Calibri"/>
                <w:color w:val="000000"/>
                <w:sz w:val="18"/>
                <w:lang w:val="en-US"/>
              </w:rPr>
              <w:t>855</w:t>
            </w:r>
          </w:p>
        </w:tc>
        <w:tc>
          <w:tcPr>
            <w:tcW w:w="951" w:type="pct"/>
          </w:tcPr>
          <w:p w:rsidR="003A4948" w:rsidRPr="00195BBF" w:rsidRDefault="003A4948" w:rsidP="00DE28B8">
            <w:pPr>
              <w:jc w:val="center"/>
              <w:cnfStyle w:val="000000000000"/>
              <w:rPr>
                <w:rFonts w:eastAsia="Times New Roman" w:cs="Calibri"/>
                <w:color w:val="000000"/>
                <w:sz w:val="18"/>
                <w:lang w:val="en-US"/>
              </w:rPr>
            </w:pPr>
            <w:r>
              <w:rPr>
                <w:rFonts w:eastAsia="Times New Roman" w:cs="Calibri"/>
                <w:color w:val="000000"/>
                <w:sz w:val="18"/>
                <w:lang w:val="en-US"/>
              </w:rPr>
              <w:t>3</w:t>
            </w:r>
            <w:r w:rsidR="00B15997">
              <w:rPr>
                <w:rFonts w:eastAsia="Times New Roman" w:cs="Calibri"/>
                <w:color w:val="000000"/>
                <w:sz w:val="18"/>
                <w:lang w:val="en-US"/>
              </w:rPr>
              <w:t>.</w:t>
            </w:r>
            <w:r>
              <w:rPr>
                <w:rFonts w:eastAsia="Times New Roman" w:cs="Calibri"/>
                <w:color w:val="000000"/>
                <w:sz w:val="18"/>
                <w:lang w:val="en-US"/>
              </w:rPr>
              <w:t>081</w:t>
            </w:r>
          </w:p>
        </w:tc>
      </w:tr>
      <w:tr w:rsidR="003A4948" w:rsidRPr="00D5646D" w:rsidTr="00AA426D">
        <w:trPr>
          <w:cnfStyle w:val="000000100000"/>
          <w:trHeight w:val="256"/>
        </w:trPr>
        <w:tc>
          <w:tcPr>
            <w:cnfStyle w:val="001000000000"/>
            <w:tcW w:w="1195" w:type="pct"/>
            <w:noWrap/>
            <w:hideMark/>
          </w:tcPr>
          <w:p w:rsidR="003A4948" w:rsidRPr="00F73600" w:rsidRDefault="003A4948" w:rsidP="00F73600">
            <w:pPr>
              <w:rPr>
                <w:rFonts w:eastAsia="Times New Roman" w:cs="Calibri"/>
                <w:b w:val="0"/>
                <w:bCs w:val="0"/>
                <w:color w:val="000000"/>
                <w:sz w:val="18"/>
                <w:lang w:val="en-US"/>
              </w:rPr>
            </w:pPr>
            <w:r w:rsidRPr="00F73600">
              <w:rPr>
                <w:rFonts w:eastAsia="Times New Roman" w:cs="Calibri"/>
                <w:b w:val="0"/>
                <w:bCs w:val="0"/>
                <w:color w:val="000000"/>
                <w:sz w:val="18"/>
                <w:lang w:val="en-US"/>
              </w:rPr>
              <w:t>% o</w:t>
            </w:r>
            <w:r w:rsidR="00591D9F">
              <w:rPr>
                <w:rFonts w:eastAsia="Times New Roman" w:cs="Calibri"/>
                <w:b w:val="0"/>
                <w:bCs w:val="0"/>
                <w:color w:val="000000"/>
                <w:sz w:val="18"/>
                <w:lang w:val="en-US"/>
              </w:rPr>
              <w:t>d</w:t>
            </w:r>
            <w:r w:rsidRPr="00F73600">
              <w:rPr>
                <w:rFonts w:eastAsia="Times New Roman" w:cs="Calibri"/>
                <w:b w:val="0"/>
                <w:bCs w:val="0"/>
                <w:color w:val="000000"/>
                <w:sz w:val="18"/>
                <w:lang w:val="en-US"/>
              </w:rPr>
              <w:t xml:space="preserve"> ukupnog broja</w:t>
            </w:r>
          </w:p>
        </w:tc>
        <w:tc>
          <w:tcPr>
            <w:tcW w:w="951" w:type="pct"/>
            <w:noWrap/>
          </w:tcPr>
          <w:p w:rsidR="003A4948" w:rsidRPr="00195BBF" w:rsidRDefault="003A4948" w:rsidP="00DE28B8">
            <w:pPr>
              <w:jc w:val="center"/>
              <w:cnfStyle w:val="000000100000"/>
              <w:rPr>
                <w:rFonts w:eastAsia="Times New Roman" w:cs="Calibri"/>
                <w:color w:val="000000"/>
                <w:sz w:val="18"/>
                <w:lang w:val="en-US"/>
              </w:rPr>
            </w:pPr>
            <w:r>
              <w:rPr>
                <w:rFonts w:eastAsia="Times New Roman" w:cs="Calibri"/>
                <w:color w:val="000000"/>
                <w:sz w:val="18"/>
                <w:lang w:val="en-US"/>
              </w:rPr>
              <w:t>6,8</w:t>
            </w:r>
          </w:p>
        </w:tc>
        <w:tc>
          <w:tcPr>
            <w:tcW w:w="951" w:type="pct"/>
            <w:noWrap/>
          </w:tcPr>
          <w:p w:rsidR="003A4948" w:rsidRPr="00195BBF" w:rsidRDefault="003A4948" w:rsidP="00DE28B8">
            <w:pPr>
              <w:jc w:val="center"/>
              <w:cnfStyle w:val="000000100000"/>
              <w:rPr>
                <w:rFonts w:eastAsia="Times New Roman" w:cs="Calibri"/>
                <w:color w:val="000000"/>
                <w:sz w:val="18"/>
                <w:lang w:val="en-US"/>
              </w:rPr>
            </w:pPr>
            <w:r>
              <w:rPr>
                <w:rFonts w:eastAsia="Times New Roman" w:cs="Calibri"/>
                <w:color w:val="000000"/>
                <w:sz w:val="18"/>
                <w:lang w:val="en-US"/>
              </w:rPr>
              <w:t>8,8</w:t>
            </w:r>
          </w:p>
        </w:tc>
        <w:tc>
          <w:tcPr>
            <w:tcW w:w="951" w:type="pct"/>
            <w:noWrap/>
          </w:tcPr>
          <w:p w:rsidR="003A4948" w:rsidRPr="00195BBF" w:rsidRDefault="003A4948" w:rsidP="00DE28B8">
            <w:pPr>
              <w:jc w:val="center"/>
              <w:cnfStyle w:val="000000100000"/>
              <w:rPr>
                <w:rFonts w:eastAsia="Times New Roman" w:cs="Calibri"/>
                <w:color w:val="000000"/>
                <w:sz w:val="18"/>
                <w:lang w:val="en-US"/>
              </w:rPr>
            </w:pPr>
            <w:r>
              <w:rPr>
                <w:rFonts w:eastAsia="Times New Roman" w:cs="Calibri"/>
                <w:color w:val="000000"/>
                <w:sz w:val="18"/>
                <w:lang w:val="en-US"/>
              </w:rPr>
              <w:t>16,0</w:t>
            </w:r>
          </w:p>
        </w:tc>
        <w:tc>
          <w:tcPr>
            <w:tcW w:w="951" w:type="pct"/>
          </w:tcPr>
          <w:p w:rsidR="003A4948" w:rsidRPr="00195BBF" w:rsidRDefault="003A4948" w:rsidP="00DE28B8">
            <w:pPr>
              <w:jc w:val="center"/>
              <w:cnfStyle w:val="000000100000"/>
              <w:rPr>
                <w:rFonts w:eastAsia="Times New Roman" w:cs="Calibri"/>
                <w:color w:val="000000"/>
                <w:sz w:val="18"/>
                <w:lang w:val="en-US"/>
              </w:rPr>
            </w:pPr>
            <w:r>
              <w:rPr>
                <w:rFonts w:eastAsia="Times New Roman" w:cs="Calibri"/>
                <w:color w:val="000000"/>
                <w:sz w:val="18"/>
                <w:lang w:val="en-US"/>
              </w:rPr>
              <w:t>3,5</w:t>
            </w:r>
          </w:p>
        </w:tc>
      </w:tr>
    </w:tbl>
    <w:p w:rsidR="002A2E0B" w:rsidRPr="003E247B" w:rsidRDefault="002A2E0B" w:rsidP="005F36E4">
      <w:pPr>
        <w:jc w:val="right"/>
        <w:rPr>
          <w:rFonts w:cs="Arial"/>
          <w:i/>
          <w:iCs/>
          <w:color w:val="000000" w:themeColor="text1"/>
          <w:sz w:val="18"/>
        </w:rPr>
      </w:pPr>
      <w:r w:rsidRPr="003E247B">
        <w:rPr>
          <w:rFonts w:cs="Arial"/>
          <w:i/>
          <w:iCs/>
          <w:color w:val="000000" w:themeColor="text1"/>
          <w:sz w:val="18"/>
        </w:rPr>
        <w:t>Izvor: Zavod za zapošljavanje, Izvještaji o radu 2016-2019.</w:t>
      </w:r>
    </w:p>
    <w:p w:rsidR="006A4215" w:rsidRDefault="006A4215" w:rsidP="005526BB">
      <w:pPr>
        <w:jc w:val="both"/>
        <w:rPr>
          <w:rFonts w:cs="Arial"/>
          <w:sz w:val="22"/>
          <w:szCs w:val="22"/>
        </w:rPr>
      </w:pPr>
    </w:p>
    <w:p w:rsidR="00DB7C5A" w:rsidRDefault="00B75C04" w:rsidP="005526BB">
      <w:pPr>
        <w:jc w:val="both"/>
        <w:rPr>
          <w:rFonts w:cs="Arial"/>
          <w:sz w:val="22"/>
          <w:szCs w:val="22"/>
        </w:rPr>
      </w:pPr>
      <w:r>
        <w:rPr>
          <w:rFonts w:cs="Arial"/>
          <w:sz w:val="22"/>
          <w:szCs w:val="22"/>
        </w:rPr>
        <w:t xml:space="preserve">U odnosu na 2016. učešće uključenih nezaposlenih u sezonskim poslovima u odnosu na ukupan broj nezaposlenih je </w:t>
      </w:r>
      <w:r w:rsidR="00EC5DB0">
        <w:rPr>
          <w:rFonts w:cs="Arial"/>
          <w:sz w:val="22"/>
          <w:szCs w:val="22"/>
        </w:rPr>
        <w:t xml:space="preserve">poraslo </w:t>
      </w:r>
      <w:r>
        <w:rPr>
          <w:rFonts w:cs="Arial"/>
          <w:sz w:val="22"/>
          <w:szCs w:val="22"/>
        </w:rPr>
        <w:t>sa 6,8% na 16</w:t>
      </w:r>
      <w:r w:rsidRPr="00F56DA8">
        <w:rPr>
          <w:rFonts w:cs="Arial"/>
          <w:sz w:val="22"/>
          <w:szCs w:val="22"/>
        </w:rPr>
        <w:t>%. S druge</w:t>
      </w:r>
      <w:r>
        <w:rPr>
          <w:rFonts w:cs="Arial"/>
          <w:sz w:val="22"/>
          <w:szCs w:val="22"/>
        </w:rPr>
        <w:t xml:space="preserve"> strane, u 2020. ovaj procenat je značajno smanjen, tako da je na kraju šestog mjeseca 2020. bio na nivou od 3,5%.</w:t>
      </w:r>
    </w:p>
    <w:p w:rsidR="00B75C04" w:rsidRDefault="00B75C04" w:rsidP="005526BB">
      <w:pPr>
        <w:jc w:val="both"/>
        <w:rPr>
          <w:rFonts w:cs="Arial"/>
          <w:sz w:val="22"/>
          <w:szCs w:val="22"/>
        </w:rPr>
      </w:pPr>
    </w:p>
    <w:p w:rsidR="00E3466A" w:rsidRDefault="00E3466A" w:rsidP="005526BB">
      <w:pPr>
        <w:pStyle w:val="Heading2"/>
        <w:spacing w:before="0"/>
      </w:pPr>
      <w:bookmarkStart w:id="60" w:name="_Toc44873766"/>
      <w:bookmarkStart w:id="61" w:name="_Toc52644732"/>
      <w:bookmarkStart w:id="62" w:name="_Toc58581877"/>
      <w:bookmarkStart w:id="63" w:name="_Toc60052374"/>
      <w:bookmarkStart w:id="64" w:name="_Toc60565207"/>
      <w:bookmarkStart w:id="65" w:name="_Toc61289784"/>
      <w:bookmarkStart w:id="66" w:name="_Toc63099499"/>
      <w:r w:rsidRPr="00C76E10">
        <w:t>3.5</w:t>
      </w:r>
      <w:bookmarkEnd w:id="60"/>
      <w:bookmarkEnd w:id="61"/>
      <w:r w:rsidRPr="00C76E10">
        <w:t xml:space="preserve"> Tražnja </w:t>
      </w:r>
      <w:bookmarkEnd w:id="62"/>
      <w:bookmarkEnd w:id="63"/>
      <w:r w:rsidRPr="00C76E10">
        <w:t>u pogledu znanja i vještina</w:t>
      </w:r>
      <w:bookmarkEnd w:id="64"/>
      <w:bookmarkEnd w:id="65"/>
      <w:bookmarkEnd w:id="66"/>
    </w:p>
    <w:p w:rsidR="00E3466A" w:rsidRDefault="00E3466A" w:rsidP="005526BB">
      <w:pPr>
        <w:pStyle w:val="Heading2"/>
        <w:spacing w:before="0"/>
      </w:pPr>
    </w:p>
    <w:p w:rsidR="00E3466A" w:rsidRPr="00FC2D96" w:rsidRDefault="00E3466A" w:rsidP="00385224">
      <w:pPr>
        <w:pStyle w:val="Heading3"/>
      </w:pPr>
      <w:r w:rsidRPr="00FC2D96">
        <w:rPr>
          <w:rFonts w:cs="Arial"/>
        </w:rPr>
        <w:t xml:space="preserve">3.5.1 </w:t>
      </w:r>
      <w:r w:rsidRPr="00FC2D96">
        <w:t>Deficitarna i suficitarna zanimanja na evidenciji ZZZCG Podgorica</w:t>
      </w:r>
      <w:r w:rsidRPr="00FC2D96">
        <w:rPr>
          <w:rStyle w:val="FootnoteReference"/>
          <w:b/>
          <w:bCs/>
          <w:szCs w:val="22"/>
        </w:rPr>
        <w:footnoteReference w:id="19"/>
      </w:r>
    </w:p>
    <w:p w:rsidR="00E3466A" w:rsidRDefault="00E3466A" w:rsidP="005526BB">
      <w:pPr>
        <w:jc w:val="both"/>
        <w:rPr>
          <w:sz w:val="22"/>
          <w:szCs w:val="22"/>
        </w:rPr>
      </w:pPr>
    </w:p>
    <w:p w:rsidR="00E3466A" w:rsidRPr="00A329AD" w:rsidRDefault="00E3466A" w:rsidP="005526BB">
      <w:pPr>
        <w:jc w:val="both"/>
        <w:rPr>
          <w:sz w:val="22"/>
          <w:szCs w:val="22"/>
        </w:rPr>
      </w:pPr>
      <w:r w:rsidRPr="00A329AD">
        <w:rPr>
          <w:sz w:val="22"/>
          <w:szCs w:val="22"/>
        </w:rPr>
        <w:t xml:space="preserve">Deficitarnost zanimanja je kompleksna kategorija i ona se mora razmatrati sa aspekta određenog jaza između znanja i vještina koje nezaposleni sa određenim zanimanjima posjeduju i znanja i vještina koje traže poslodavci, i kao takvu nije je jednostavno definisati i izdvojiti određena zanimanja kao deficitarna. Određena zanimanja, posebno u ugostiteljstvu i turizmu, saobraćaju i ličnim uslugama, mogu biti deficitarna u određenom dijelu države (primorski region) i u određenom periodu (ljetnji), a da su ta ista zanimanja suficitarna u ostalim djelovima Crne Gore i u ostalim periodima godine. Isto tako, dešava se da poslodavci za određena zanimanja traže znanja i vještine koje nezaposleni sa tim zanimanjima ne posjeduju, odnosno razlog deficitarnosti je u nedovoljnoj stručnoj osposobljenosti </w:t>
      </w:r>
      <w:r>
        <w:rPr>
          <w:sz w:val="22"/>
          <w:szCs w:val="22"/>
        </w:rPr>
        <w:t>ste</w:t>
      </w:r>
      <w:r w:rsidR="00EC5DB0">
        <w:rPr>
          <w:sz w:val="22"/>
          <w:szCs w:val="22"/>
        </w:rPr>
        <w:t>č</w:t>
      </w:r>
      <w:r>
        <w:rPr>
          <w:sz w:val="22"/>
          <w:szCs w:val="22"/>
        </w:rPr>
        <w:t xml:space="preserve">enom </w:t>
      </w:r>
      <w:r w:rsidRPr="00A329AD">
        <w:rPr>
          <w:sz w:val="22"/>
          <w:szCs w:val="22"/>
        </w:rPr>
        <w:t>tokom školovanja za sve veću zahtjevnost radnih mjesta, kako u proizvodnim, tako i u uslužnim djelatnostima.</w:t>
      </w:r>
    </w:p>
    <w:p w:rsidR="00AA426D" w:rsidRDefault="00AA426D" w:rsidP="005526BB">
      <w:pPr>
        <w:jc w:val="both"/>
        <w:rPr>
          <w:color w:val="000000"/>
          <w:sz w:val="22"/>
          <w:szCs w:val="22"/>
        </w:rPr>
      </w:pPr>
    </w:p>
    <w:p w:rsidR="00E3466A" w:rsidRPr="00A329AD" w:rsidRDefault="00E3466A" w:rsidP="005526BB">
      <w:pPr>
        <w:jc w:val="both"/>
        <w:rPr>
          <w:color w:val="000000"/>
          <w:sz w:val="22"/>
          <w:szCs w:val="22"/>
        </w:rPr>
      </w:pPr>
      <w:r w:rsidRPr="00A329AD">
        <w:rPr>
          <w:color w:val="000000"/>
          <w:sz w:val="22"/>
          <w:szCs w:val="22"/>
        </w:rPr>
        <w:t>Sam podatak o broju nezaposlenih lica sa određenim zanimanjem ne govori o položaju tog zanimanja na tržištu rada, odnosno, na osnovu samo tog podatka ne može</w:t>
      </w:r>
      <w:r>
        <w:rPr>
          <w:color w:val="000000"/>
          <w:sz w:val="22"/>
          <w:szCs w:val="22"/>
        </w:rPr>
        <w:t xml:space="preserve"> se</w:t>
      </w:r>
      <w:r w:rsidRPr="00A329AD">
        <w:rPr>
          <w:color w:val="000000"/>
          <w:sz w:val="22"/>
          <w:szCs w:val="22"/>
        </w:rPr>
        <w:t xml:space="preserve"> zaključiti da li je nezaposlenih </w:t>
      </w:r>
      <w:r w:rsidR="00F67634">
        <w:rPr>
          <w:color w:val="000000"/>
          <w:sz w:val="22"/>
          <w:szCs w:val="22"/>
        </w:rPr>
        <w:t xml:space="preserve">lica </w:t>
      </w:r>
      <w:r w:rsidRPr="00A329AD">
        <w:rPr>
          <w:color w:val="000000"/>
          <w:sz w:val="22"/>
          <w:szCs w:val="22"/>
        </w:rPr>
        <w:t xml:space="preserve">sa </w:t>
      </w:r>
      <w:r w:rsidR="00F67634">
        <w:rPr>
          <w:color w:val="000000"/>
          <w:sz w:val="22"/>
          <w:szCs w:val="22"/>
        </w:rPr>
        <w:t xml:space="preserve">određenim </w:t>
      </w:r>
      <w:r w:rsidRPr="00A329AD">
        <w:rPr>
          <w:color w:val="000000"/>
          <w:sz w:val="22"/>
          <w:szCs w:val="22"/>
        </w:rPr>
        <w:t xml:space="preserve">zanimanjem mnogo ili malo. Da bi utvrdili položaj nekog zanimanja </w:t>
      </w:r>
      <w:r>
        <w:rPr>
          <w:color w:val="000000"/>
          <w:sz w:val="22"/>
          <w:szCs w:val="22"/>
        </w:rPr>
        <w:t>i</w:t>
      </w:r>
      <w:r w:rsidRPr="00A329AD">
        <w:rPr>
          <w:color w:val="000000"/>
          <w:sz w:val="22"/>
          <w:szCs w:val="22"/>
        </w:rPr>
        <w:t xml:space="preserve">li </w:t>
      </w:r>
      <w:bookmarkStart w:id="67" w:name="_Hlk45726369"/>
      <w:r w:rsidRPr="00A329AD">
        <w:rPr>
          <w:color w:val="000000"/>
          <w:sz w:val="22"/>
          <w:szCs w:val="22"/>
        </w:rPr>
        <w:t xml:space="preserve">grupe zanimanja na tržištu rada </w:t>
      </w:r>
      <w:r>
        <w:rPr>
          <w:color w:val="000000"/>
          <w:sz w:val="22"/>
          <w:szCs w:val="22"/>
        </w:rPr>
        <w:t xml:space="preserve">potrebno je uporediti </w:t>
      </w:r>
      <w:r w:rsidRPr="00A329AD">
        <w:rPr>
          <w:color w:val="000000"/>
          <w:sz w:val="22"/>
          <w:szCs w:val="22"/>
        </w:rPr>
        <w:t>broj nezaposlenih sa tražnjom za tim zanimanjem i zapošljavanjem lica sa evidencije Zavoda za zapošljavenje sa tim zanimanjem.</w:t>
      </w:r>
    </w:p>
    <w:bookmarkEnd w:id="67"/>
    <w:p w:rsidR="00E3466A" w:rsidRPr="00A329AD" w:rsidRDefault="00E3466A" w:rsidP="005526BB">
      <w:pPr>
        <w:jc w:val="both"/>
        <w:rPr>
          <w:bCs/>
          <w:sz w:val="22"/>
          <w:szCs w:val="22"/>
          <w:lang w:val="sl-SI"/>
        </w:rPr>
      </w:pPr>
    </w:p>
    <w:p w:rsidR="00E3466A" w:rsidRPr="00A329AD" w:rsidRDefault="00E3466A" w:rsidP="005526BB">
      <w:pPr>
        <w:jc w:val="both"/>
        <w:rPr>
          <w:bCs/>
          <w:sz w:val="22"/>
          <w:szCs w:val="22"/>
          <w:lang w:val="sl-SI"/>
        </w:rPr>
      </w:pPr>
      <w:r w:rsidRPr="00A329AD">
        <w:rPr>
          <w:bCs/>
          <w:sz w:val="22"/>
          <w:szCs w:val="22"/>
          <w:lang w:val="sl-SI"/>
        </w:rPr>
        <w:t>Na tržištu rada Crne Gore je u vidu ponude, tražnje i zapošljavanja u prethodnih nekoliko godina, bilo prisutno oko 1.700 zanimanja</w:t>
      </w:r>
      <w:r w:rsidRPr="00A329AD">
        <w:rPr>
          <w:sz w:val="22"/>
          <w:szCs w:val="22"/>
          <w:lang w:val="sl-SI"/>
        </w:rPr>
        <w:t xml:space="preserve"> sistematizovanih u 70 grupa zanimanja odnosno područja rada.</w:t>
      </w:r>
    </w:p>
    <w:p w:rsidR="00E3466A" w:rsidRDefault="00E3466A" w:rsidP="005526BB">
      <w:pPr>
        <w:ind w:right="46"/>
        <w:jc w:val="both"/>
        <w:rPr>
          <w:szCs w:val="20"/>
        </w:rPr>
      </w:pPr>
      <w:r w:rsidRPr="00A329AD">
        <w:rPr>
          <w:sz w:val="22"/>
          <w:szCs w:val="22"/>
        </w:rPr>
        <w:t xml:space="preserve">Za potrebe izrade istraživanja deficitarnosti </w:t>
      </w:r>
      <w:r>
        <w:rPr>
          <w:sz w:val="22"/>
          <w:szCs w:val="22"/>
        </w:rPr>
        <w:t xml:space="preserve">i suficitarnosti </w:t>
      </w:r>
      <w:r w:rsidRPr="00A329AD">
        <w:rPr>
          <w:sz w:val="22"/>
          <w:szCs w:val="22"/>
        </w:rPr>
        <w:t xml:space="preserve">zanimanja </w:t>
      </w:r>
      <w:r>
        <w:rPr>
          <w:sz w:val="22"/>
          <w:szCs w:val="22"/>
        </w:rPr>
        <w:t xml:space="preserve">u Podgorici </w:t>
      </w:r>
      <w:r w:rsidRPr="00A329AD">
        <w:rPr>
          <w:sz w:val="22"/>
          <w:szCs w:val="22"/>
        </w:rPr>
        <w:t xml:space="preserve">korišćeni su podaci o ponudi, tražnji i zapošljavanju u 2019. godini i prvoj polovini 2020. </w:t>
      </w:r>
      <w:r>
        <w:rPr>
          <w:sz w:val="22"/>
          <w:szCs w:val="22"/>
        </w:rPr>
        <w:t>g</w:t>
      </w:r>
      <w:r w:rsidRPr="00A329AD">
        <w:rPr>
          <w:sz w:val="22"/>
          <w:szCs w:val="22"/>
        </w:rPr>
        <w:t>odine</w:t>
      </w:r>
      <w:r>
        <w:rPr>
          <w:sz w:val="22"/>
          <w:szCs w:val="22"/>
        </w:rPr>
        <w:t xml:space="preserve">. </w:t>
      </w:r>
      <w:r w:rsidRPr="00C37216">
        <w:rPr>
          <w:szCs w:val="20"/>
        </w:rPr>
        <w:t xml:space="preserve"> </w:t>
      </w:r>
      <w:bookmarkStart w:id="68" w:name="_Hlk45726317"/>
    </w:p>
    <w:p w:rsidR="00E3466A" w:rsidRDefault="00E3466A" w:rsidP="005526BB">
      <w:pPr>
        <w:ind w:right="46"/>
        <w:jc w:val="both"/>
        <w:rPr>
          <w:sz w:val="22"/>
          <w:szCs w:val="22"/>
          <w:lang w:val="sl-SI"/>
        </w:rPr>
      </w:pPr>
    </w:p>
    <w:p w:rsidR="00E3466A" w:rsidRPr="00A329AD" w:rsidRDefault="00E3466A" w:rsidP="005526BB">
      <w:pPr>
        <w:jc w:val="both"/>
        <w:rPr>
          <w:sz w:val="22"/>
          <w:szCs w:val="22"/>
        </w:rPr>
      </w:pPr>
      <w:r w:rsidRPr="00A329AD">
        <w:rPr>
          <w:sz w:val="22"/>
          <w:szCs w:val="22"/>
          <w:lang w:val="sl-SI"/>
        </w:rPr>
        <w:t xml:space="preserve">Na analizu deficitarnosti zanimanja u značajnoj mjeri utiče </w:t>
      </w:r>
      <w:r>
        <w:rPr>
          <w:sz w:val="22"/>
          <w:szCs w:val="22"/>
          <w:lang w:val="sl-SI"/>
        </w:rPr>
        <w:t xml:space="preserve">i </w:t>
      </w:r>
      <w:r w:rsidRPr="00591D9F">
        <w:rPr>
          <w:bCs/>
          <w:i/>
          <w:iCs/>
          <w:sz w:val="22"/>
          <w:szCs w:val="22"/>
          <w:lang w:val="sl-SI"/>
        </w:rPr>
        <w:t>neraspoređena tražnja</w:t>
      </w:r>
      <w:r w:rsidRPr="00A329AD">
        <w:rPr>
          <w:sz w:val="22"/>
          <w:szCs w:val="22"/>
          <w:lang w:val="sl-SI"/>
        </w:rPr>
        <w:t xml:space="preserve"> koja predstavlja slobodna radna mjesta koja su oglasili poslodavci, ali koju nijesu precizno definisali. Naime, poslodavci prilikom oglašavanja slobodnih radnih mjesta u određenom/značajnom broju slučajeva, pružajući sebi slobodu u odlučivanju koju daje zakon, slobodna radna mjesta ne definišu na nivou konkretnih  zanimanja već na nivou grupe zanimanja (npr. oglašavaju slobodno radno mjesto »VSS društveni smjer« i na to radno mjesto mogu zaposliti nezaposleno lice sa visokom stručnom spremom, a koje je diplomirani ekonomista, diplomirani pravnik, diplomirani sociolog). </w:t>
      </w:r>
    </w:p>
    <w:bookmarkEnd w:id="68"/>
    <w:p w:rsidR="00E3466A" w:rsidRDefault="00E3466A" w:rsidP="005526BB">
      <w:pPr>
        <w:ind w:left="66"/>
        <w:jc w:val="both"/>
        <w:rPr>
          <w:sz w:val="22"/>
          <w:szCs w:val="22"/>
          <w:highlight w:val="yellow"/>
        </w:rPr>
      </w:pPr>
    </w:p>
    <w:p w:rsidR="00E3466A" w:rsidRPr="00180E5C" w:rsidRDefault="00E3466A" w:rsidP="005526BB">
      <w:pPr>
        <w:jc w:val="both"/>
        <w:rPr>
          <w:i/>
          <w:iCs/>
        </w:rPr>
      </w:pPr>
      <w:r w:rsidRPr="00180E5C">
        <w:rPr>
          <w:i/>
          <w:iCs/>
        </w:rPr>
        <w:t>Deficitarna zanimanja</w:t>
      </w:r>
    </w:p>
    <w:p w:rsidR="00E3466A" w:rsidRDefault="00E3466A" w:rsidP="005526BB">
      <w:pPr>
        <w:jc w:val="both"/>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71"/>
        <w:gridCol w:w="4111"/>
        <w:gridCol w:w="3685"/>
      </w:tblGrid>
      <w:tr w:rsidR="00E3466A" w:rsidRPr="00A329AD" w:rsidTr="007175D4">
        <w:tc>
          <w:tcPr>
            <w:tcW w:w="1271" w:type="dxa"/>
            <w:shd w:val="clear" w:color="auto" w:fill="D9D9D9" w:themeFill="background1" w:themeFillShade="D9"/>
            <w:hideMark/>
          </w:tcPr>
          <w:p w:rsidR="00E3466A" w:rsidRPr="00180E5C" w:rsidRDefault="00E3466A" w:rsidP="005526BB">
            <w:pPr>
              <w:jc w:val="center"/>
              <w:rPr>
                <w:szCs w:val="20"/>
              </w:rPr>
            </w:pPr>
            <w:r w:rsidRPr="00180E5C">
              <w:rPr>
                <w:szCs w:val="20"/>
              </w:rPr>
              <w:t>Stepen stručne spreme</w:t>
            </w:r>
          </w:p>
        </w:tc>
        <w:tc>
          <w:tcPr>
            <w:tcW w:w="4111" w:type="dxa"/>
            <w:shd w:val="clear" w:color="auto" w:fill="D9D9D9" w:themeFill="background1" w:themeFillShade="D9"/>
            <w:hideMark/>
          </w:tcPr>
          <w:p w:rsidR="00E3466A" w:rsidRPr="00180E5C" w:rsidRDefault="00E3466A" w:rsidP="005526BB">
            <w:pPr>
              <w:ind w:left="360"/>
              <w:jc w:val="center"/>
              <w:rPr>
                <w:szCs w:val="20"/>
              </w:rPr>
            </w:pPr>
            <w:r w:rsidRPr="00180E5C">
              <w:rPr>
                <w:szCs w:val="20"/>
              </w:rPr>
              <w:t>2019. godina</w:t>
            </w:r>
          </w:p>
        </w:tc>
        <w:tc>
          <w:tcPr>
            <w:tcW w:w="3685" w:type="dxa"/>
            <w:shd w:val="clear" w:color="auto" w:fill="D9D9D9" w:themeFill="background1" w:themeFillShade="D9"/>
            <w:hideMark/>
          </w:tcPr>
          <w:p w:rsidR="00E3466A" w:rsidRPr="00180E5C" w:rsidRDefault="00E3466A" w:rsidP="005526BB">
            <w:pPr>
              <w:ind w:left="360"/>
              <w:jc w:val="center"/>
              <w:rPr>
                <w:szCs w:val="20"/>
              </w:rPr>
            </w:pPr>
            <w:r w:rsidRPr="00180E5C">
              <w:rPr>
                <w:szCs w:val="20"/>
              </w:rPr>
              <w:t>2020</w:t>
            </w:r>
            <w:r>
              <w:rPr>
                <w:szCs w:val="20"/>
              </w:rPr>
              <w:t>.</w:t>
            </w:r>
            <w:r w:rsidRPr="00180E5C">
              <w:rPr>
                <w:szCs w:val="20"/>
              </w:rPr>
              <w:t xml:space="preserve"> godina</w:t>
            </w:r>
          </w:p>
        </w:tc>
      </w:tr>
      <w:tr w:rsidR="00E3466A" w:rsidRPr="00A329AD" w:rsidTr="007175D4">
        <w:tc>
          <w:tcPr>
            <w:tcW w:w="1271" w:type="dxa"/>
            <w:shd w:val="clear" w:color="auto" w:fill="D9D9D9" w:themeFill="background1" w:themeFillShade="D9"/>
            <w:hideMark/>
          </w:tcPr>
          <w:p w:rsidR="00E3466A" w:rsidRPr="00A329AD" w:rsidRDefault="00E3466A" w:rsidP="005526BB">
            <w:pPr>
              <w:jc w:val="center"/>
              <w:rPr>
                <w:szCs w:val="20"/>
              </w:rPr>
            </w:pPr>
            <w:r w:rsidRPr="00A329AD">
              <w:rPr>
                <w:szCs w:val="20"/>
              </w:rPr>
              <w:t>III.</w:t>
            </w:r>
          </w:p>
        </w:tc>
        <w:tc>
          <w:tcPr>
            <w:tcW w:w="4111" w:type="dxa"/>
            <w:hideMark/>
          </w:tcPr>
          <w:p w:rsidR="00E3466A" w:rsidRPr="00A329AD" w:rsidRDefault="00E3466A" w:rsidP="005526BB">
            <w:pPr>
              <w:pStyle w:val="ListParagraph"/>
              <w:numPr>
                <w:ilvl w:val="0"/>
                <w:numId w:val="22"/>
              </w:numPr>
              <w:ind w:left="319"/>
              <w:rPr>
                <w:szCs w:val="20"/>
              </w:rPr>
            </w:pPr>
            <w:r w:rsidRPr="00A329AD">
              <w:rPr>
                <w:szCs w:val="20"/>
              </w:rPr>
              <w:t>Kelneri (najveća potražnja)</w:t>
            </w:r>
          </w:p>
        </w:tc>
        <w:tc>
          <w:tcPr>
            <w:tcW w:w="3685" w:type="dxa"/>
          </w:tcPr>
          <w:p w:rsidR="00E3466A" w:rsidRPr="00A329AD" w:rsidRDefault="00E3466A" w:rsidP="005526BB">
            <w:pPr>
              <w:ind w:left="-40"/>
              <w:rPr>
                <w:szCs w:val="20"/>
              </w:rPr>
            </w:pPr>
          </w:p>
        </w:tc>
      </w:tr>
      <w:tr w:rsidR="00E3466A" w:rsidRPr="00A329AD" w:rsidTr="007175D4">
        <w:tc>
          <w:tcPr>
            <w:tcW w:w="1271" w:type="dxa"/>
            <w:shd w:val="clear" w:color="auto" w:fill="D9D9D9" w:themeFill="background1" w:themeFillShade="D9"/>
            <w:hideMark/>
          </w:tcPr>
          <w:p w:rsidR="00E3466A" w:rsidRPr="00A329AD" w:rsidRDefault="00E3466A" w:rsidP="005526BB">
            <w:pPr>
              <w:jc w:val="center"/>
              <w:rPr>
                <w:szCs w:val="20"/>
              </w:rPr>
            </w:pPr>
            <w:r w:rsidRPr="00A329AD">
              <w:rPr>
                <w:szCs w:val="20"/>
              </w:rPr>
              <w:t>IV.</w:t>
            </w:r>
          </w:p>
        </w:tc>
        <w:tc>
          <w:tcPr>
            <w:tcW w:w="4111" w:type="dxa"/>
            <w:hideMark/>
          </w:tcPr>
          <w:p w:rsidR="00E3466A" w:rsidRPr="00A329AD" w:rsidRDefault="00E3466A" w:rsidP="005526BB">
            <w:pPr>
              <w:pStyle w:val="ListParagraph"/>
              <w:numPr>
                <w:ilvl w:val="0"/>
                <w:numId w:val="22"/>
              </w:numPr>
              <w:ind w:left="319"/>
              <w:rPr>
                <w:szCs w:val="20"/>
              </w:rPr>
            </w:pPr>
            <w:r w:rsidRPr="00A329AD">
              <w:rPr>
                <w:szCs w:val="20"/>
              </w:rPr>
              <w:t>Medicinari (zdravstveni tehničari-najveća potražnja)</w:t>
            </w:r>
          </w:p>
        </w:tc>
        <w:tc>
          <w:tcPr>
            <w:tcW w:w="3685" w:type="dxa"/>
            <w:hideMark/>
          </w:tcPr>
          <w:p w:rsidR="00E3466A" w:rsidRPr="00A329AD" w:rsidRDefault="00E3466A" w:rsidP="005526BB">
            <w:pPr>
              <w:pStyle w:val="ListParagraph"/>
              <w:numPr>
                <w:ilvl w:val="0"/>
                <w:numId w:val="22"/>
              </w:numPr>
              <w:ind w:left="320"/>
              <w:rPr>
                <w:szCs w:val="20"/>
              </w:rPr>
            </w:pPr>
            <w:r w:rsidRPr="00A329AD">
              <w:rPr>
                <w:szCs w:val="20"/>
              </w:rPr>
              <w:t>Medicinska sestra</w:t>
            </w:r>
          </w:p>
        </w:tc>
      </w:tr>
      <w:tr w:rsidR="00E3466A" w:rsidRPr="00A329AD" w:rsidTr="007175D4">
        <w:tc>
          <w:tcPr>
            <w:tcW w:w="1271" w:type="dxa"/>
            <w:shd w:val="clear" w:color="auto" w:fill="D9D9D9" w:themeFill="background1" w:themeFillShade="D9"/>
            <w:hideMark/>
          </w:tcPr>
          <w:p w:rsidR="00E3466A" w:rsidRPr="00A329AD" w:rsidRDefault="00E3466A" w:rsidP="005526BB">
            <w:pPr>
              <w:jc w:val="center"/>
              <w:rPr>
                <w:szCs w:val="20"/>
              </w:rPr>
            </w:pPr>
            <w:r w:rsidRPr="00A329AD">
              <w:rPr>
                <w:szCs w:val="20"/>
              </w:rPr>
              <w:t>VII.</w:t>
            </w:r>
          </w:p>
        </w:tc>
        <w:tc>
          <w:tcPr>
            <w:tcW w:w="4111" w:type="dxa"/>
            <w:hideMark/>
          </w:tcPr>
          <w:p w:rsidR="00E3466A" w:rsidRPr="00A329AD" w:rsidRDefault="00E3466A" w:rsidP="005526BB">
            <w:pPr>
              <w:pStyle w:val="ListParagraph"/>
              <w:numPr>
                <w:ilvl w:val="0"/>
                <w:numId w:val="22"/>
              </w:numPr>
              <w:ind w:left="319"/>
              <w:rPr>
                <w:szCs w:val="20"/>
              </w:rPr>
            </w:pPr>
            <w:r w:rsidRPr="00A329AD">
              <w:rPr>
                <w:szCs w:val="20"/>
              </w:rPr>
              <w:t>Nastavnici prirodno-matematičke struke; Elektroničari; Informatičari i statističari</w:t>
            </w:r>
          </w:p>
        </w:tc>
        <w:tc>
          <w:tcPr>
            <w:tcW w:w="3685" w:type="dxa"/>
            <w:hideMark/>
          </w:tcPr>
          <w:p w:rsidR="00E3466A" w:rsidRPr="00A329AD" w:rsidRDefault="00E3466A" w:rsidP="005526BB">
            <w:pPr>
              <w:pStyle w:val="ListParagraph"/>
              <w:numPr>
                <w:ilvl w:val="0"/>
                <w:numId w:val="22"/>
              </w:numPr>
              <w:ind w:left="320"/>
              <w:rPr>
                <w:szCs w:val="20"/>
              </w:rPr>
            </w:pPr>
            <w:r w:rsidRPr="00A329AD">
              <w:rPr>
                <w:szCs w:val="20"/>
              </w:rPr>
              <w:t>Nastavnici prirodno-matematičke struke; Elektroničari</w:t>
            </w:r>
          </w:p>
          <w:p w:rsidR="00E3466A" w:rsidRPr="00A329AD" w:rsidRDefault="00E3466A" w:rsidP="005526BB">
            <w:pPr>
              <w:pStyle w:val="ListParagraph"/>
              <w:numPr>
                <w:ilvl w:val="0"/>
                <w:numId w:val="22"/>
              </w:numPr>
              <w:ind w:left="320"/>
              <w:rPr>
                <w:szCs w:val="20"/>
              </w:rPr>
            </w:pPr>
            <w:r w:rsidRPr="00A329AD">
              <w:rPr>
                <w:szCs w:val="20"/>
              </w:rPr>
              <w:t xml:space="preserve">Najveća potražnja: dipl. </w:t>
            </w:r>
            <w:r w:rsidR="007175D4">
              <w:rPr>
                <w:szCs w:val="20"/>
              </w:rPr>
              <w:t>e</w:t>
            </w:r>
            <w:r w:rsidRPr="00A329AD">
              <w:rPr>
                <w:szCs w:val="20"/>
              </w:rPr>
              <w:t>konomista</w:t>
            </w:r>
          </w:p>
        </w:tc>
      </w:tr>
    </w:tbl>
    <w:p w:rsidR="00E3466A" w:rsidRPr="00A329AD" w:rsidRDefault="00E3466A" w:rsidP="005526BB">
      <w:pPr>
        <w:rPr>
          <w:szCs w:val="20"/>
        </w:rPr>
      </w:pPr>
    </w:p>
    <w:p w:rsidR="00E3466A" w:rsidRPr="00180E5C" w:rsidRDefault="00E3466A" w:rsidP="005526BB">
      <w:pPr>
        <w:rPr>
          <w:i/>
          <w:iCs/>
          <w:szCs w:val="20"/>
        </w:rPr>
      </w:pPr>
      <w:r w:rsidRPr="00180E5C">
        <w:rPr>
          <w:i/>
          <w:iCs/>
          <w:szCs w:val="20"/>
        </w:rPr>
        <w:t>Suficitarna zanimanja – grupe zanimanja</w:t>
      </w:r>
    </w:p>
    <w:p w:rsidR="00E3466A" w:rsidRPr="00A329AD" w:rsidRDefault="00E3466A" w:rsidP="005526BB">
      <w:pPr>
        <w:rPr>
          <w:szCs w:val="20"/>
        </w:rPr>
      </w:pPr>
    </w:p>
    <w:tbl>
      <w:tblPr>
        <w:tblStyle w:val="TableGrid"/>
        <w:tblW w:w="0" w:type="auto"/>
        <w:tblLook w:val="04A0"/>
      </w:tblPr>
      <w:tblGrid>
        <w:gridCol w:w="1221"/>
        <w:gridCol w:w="4252"/>
        <w:gridCol w:w="3827"/>
      </w:tblGrid>
      <w:tr w:rsidR="00E3466A" w:rsidRPr="00A329AD" w:rsidTr="00E3466A">
        <w:tc>
          <w:tcPr>
            <w:tcW w:w="98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E3466A" w:rsidRPr="00180E5C" w:rsidRDefault="00E3466A" w:rsidP="005526BB">
            <w:pPr>
              <w:ind w:left="360"/>
              <w:jc w:val="center"/>
              <w:rPr>
                <w:szCs w:val="20"/>
              </w:rPr>
            </w:pPr>
            <w:r w:rsidRPr="00180E5C">
              <w:rPr>
                <w:szCs w:val="20"/>
              </w:rPr>
              <w:t>Stepen stručne spreme</w:t>
            </w:r>
          </w:p>
        </w:tc>
        <w:tc>
          <w:tcPr>
            <w:tcW w:w="425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E3466A" w:rsidRPr="00180E5C" w:rsidRDefault="00E3466A" w:rsidP="005526BB">
            <w:pPr>
              <w:ind w:left="360"/>
              <w:jc w:val="center"/>
              <w:rPr>
                <w:szCs w:val="20"/>
              </w:rPr>
            </w:pPr>
            <w:r w:rsidRPr="00180E5C">
              <w:rPr>
                <w:szCs w:val="20"/>
              </w:rPr>
              <w:t>2019. godina</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E3466A" w:rsidRPr="00180E5C" w:rsidRDefault="00E3466A" w:rsidP="005526BB">
            <w:pPr>
              <w:ind w:left="360"/>
              <w:jc w:val="center"/>
              <w:rPr>
                <w:szCs w:val="20"/>
              </w:rPr>
            </w:pPr>
            <w:r w:rsidRPr="00180E5C">
              <w:rPr>
                <w:szCs w:val="20"/>
              </w:rPr>
              <w:t>2020</w:t>
            </w:r>
            <w:r>
              <w:rPr>
                <w:szCs w:val="20"/>
              </w:rPr>
              <w:t>.</w:t>
            </w:r>
            <w:r w:rsidRPr="00180E5C">
              <w:rPr>
                <w:szCs w:val="20"/>
              </w:rPr>
              <w:t xml:space="preserve"> godina</w:t>
            </w:r>
          </w:p>
        </w:tc>
      </w:tr>
      <w:tr w:rsidR="00E3466A" w:rsidRPr="00A329AD" w:rsidTr="00E3466A">
        <w:tc>
          <w:tcPr>
            <w:tcW w:w="98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E3466A" w:rsidRPr="00A329AD" w:rsidRDefault="00E3466A" w:rsidP="005526BB">
            <w:pPr>
              <w:jc w:val="center"/>
              <w:rPr>
                <w:szCs w:val="20"/>
              </w:rPr>
            </w:pPr>
            <w:r w:rsidRPr="00A329AD">
              <w:rPr>
                <w:szCs w:val="20"/>
              </w:rPr>
              <w:t>III.</w:t>
            </w:r>
          </w:p>
        </w:tc>
        <w:tc>
          <w:tcPr>
            <w:tcW w:w="4252" w:type="dxa"/>
            <w:tcBorders>
              <w:top w:val="dotted" w:sz="4" w:space="0" w:color="auto"/>
              <w:left w:val="dotted" w:sz="4" w:space="0" w:color="auto"/>
              <w:bottom w:val="dotted" w:sz="4" w:space="0" w:color="auto"/>
              <w:right w:val="dotted" w:sz="4" w:space="0" w:color="auto"/>
            </w:tcBorders>
            <w:hideMark/>
          </w:tcPr>
          <w:p w:rsidR="00E3466A" w:rsidRPr="00A329AD" w:rsidRDefault="00E3466A" w:rsidP="005526BB">
            <w:pPr>
              <w:pStyle w:val="ListParagraph"/>
              <w:numPr>
                <w:ilvl w:val="0"/>
                <w:numId w:val="22"/>
              </w:numPr>
              <w:ind w:left="313" w:hanging="283"/>
              <w:rPr>
                <w:szCs w:val="20"/>
              </w:rPr>
            </w:pPr>
            <w:r w:rsidRPr="00A329AD">
              <w:rPr>
                <w:szCs w:val="20"/>
              </w:rPr>
              <w:t>Trgovci (prodav</w:t>
            </w:r>
            <w:r w:rsidR="00CF78A8">
              <w:rPr>
                <w:szCs w:val="20"/>
              </w:rPr>
              <w:t>c</w:t>
            </w:r>
            <w:r w:rsidRPr="00A329AD">
              <w:rPr>
                <w:szCs w:val="20"/>
              </w:rPr>
              <w:t>i); Obrađiva</w:t>
            </w:r>
            <w:r w:rsidR="00CF78A8">
              <w:rPr>
                <w:szCs w:val="20"/>
              </w:rPr>
              <w:t>č</w:t>
            </w:r>
            <w:r w:rsidRPr="00A329AD">
              <w:rPr>
                <w:szCs w:val="20"/>
              </w:rPr>
              <w:t xml:space="preserve">i metala; </w:t>
            </w:r>
            <w:r w:rsidRPr="00A329AD">
              <w:rPr>
                <w:szCs w:val="20"/>
              </w:rPr>
              <w:lastRenderedPageBreak/>
              <w:t>Frizeri za žene; Mehaničari i mašinisti (a</w:t>
            </w:r>
            <w:r w:rsidR="00CF78A8">
              <w:rPr>
                <w:szCs w:val="20"/>
              </w:rPr>
              <w:t>u</w:t>
            </w:r>
            <w:r w:rsidRPr="00A329AD">
              <w:rPr>
                <w:szCs w:val="20"/>
              </w:rPr>
              <w:t>tomehaničar); Proizvođa</w:t>
            </w:r>
            <w:r w:rsidR="00CF78A8">
              <w:rPr>
                <w:szCs w:val="20"/>
              </w:rPr>
              <w:t>č</w:t>
            </w:r>
            <w:r w:rsidRPr="00A329AD">
              <w:rPr>
                <w:szCs w:val="20"/>
              </w:rPr>
              <w:t>i odjeće (šiv</w:t>
            </w:r>
            <w:r w:rsidR="00CF78A8">
              <w:rPr>
                <w:szCs w:val="20"/>
              </w:rPr>
              <w:t>ač</w:t>
            </w:r>
            <w:r w:rsidRPr="00A329AD">
              <w:rPr>
                <w:szCs w:val="20"/>
              </w:rPr>
              <w:t xml:space="preserve"> konfekcije), Obrađiva</w:t>
            </w:r>
            <w:r w:rsidR="00CF78A8">
              <w:rPr>
                <w:szCs w:val="20"/>
              </w:rPr>
              <w:t>č</w:t>
            </w:r>
            <w:r w:rsidRPr="00A329AD">
              <w:rPr>
                <w:szCs w:val="20"/>
              </w:rPr>
              <w:t>i metala (Bravari, metalostrugari) Elektromehaničari (a</w:t>
            </w:r>
            <w:r w:rsidR="00CF78A8">
              <w:rPr>
                <w:szCs w:val="20"/>
              </w:rPr>
              <w:t>u</w:t>
            </w:r>
            <w:r w:rsidRPr="00A329AD">
              <w:rPr>
                <w:szCs w:val="20"/>
              </w:rPr>
              <w:t>toelektričar); Građevinari, Administrator</w:t>
            </w:r>
          </w:p>
          <w:p w:rsidR="00E3466A" w:rsidRPr="00A329AD" w:rsidRDefault="00E3466A" w:rsidP="005526BB">
            <w:pPr>
              <w:pStyle w:val="ListParagraph"/>
              <w:numPr>
                <w:ilvl w:val="0"/>
                <w:numId w:val="22"/>
              </w:numPr>
              <w:ind w:left="313"/>
              <w:rPr>
                <w:szCs w:val="20"/>
              </w:rPr>
            </w:pPr>
            <w:r w:rsidRPr="00A329AD">
              <w:rPr>
                <w:szCs w:val="20"/>
              </w:rPr>
              <w:t>Zanimanja za koj</w:t>
            </w:r>
            <w:r w:rsidR="00CF78A8">
              <w:rPr>
                <w:szCs w:val="20"/>
              </w:rPr>
              <w:t>a</w:t>
            </w:r>
            <w:r w:rsidRPr="00A329AD">
              <w:rPr>
                <w:szCs w:val="20"/>
              </w:rPr>
              <w:t xml:space="preserve"> nije bilo potražnje, npr. </w:t>
            </w:r>
            <w:r w:rsidRPr="00A329AD">
              <w:rPr>
                <w:rFonts w:eastAsia="Times New Roman"/>
                <w:color w:val="000000"/>
                <w:szCs w:val="20"/>
              </w:rPr>
              <w:t>Zanimanja završnih građevinskih radova, Metalurzi, Hemičari, Tekstilci</w:t>
            </w:r>
          </w:p>
        </w:tc>
        <w:tc>
          <w:tcPr>
            <w:tcW w:w="3827" w:type="dxa"/>
            <w:tcBorders>
              <w:top w:val="dotted" w:sz="4" w:space="0" w:color="auto"/>
              <w:left w:val="dotted" w:sz="4" w:space="0" w:color="auto"/>
              <w:bottom w:val="dotted" w:sz="4" w:space="0" w:color="auto"/>
              <w:right w:val="dotted" w:sz="4" w:space="0" w:color="auto"/>
            </w:tcBorders>
            <w:hideMark/>
          </w:tcPr>
          <w:p w:rsidR="00E3466A" w:rsidRPr="00A329AD" w:rsidRDefault="00E3466A" w:rsidP="005526BB">
            <w:pPr>
              <w:pStyle w:val="ListParagraph"/>
              <w:numPr>
                <w:ilvl w:val="0"/>
                <w:numId w:val="22"/>
              </w:numPr>
              <w:ind w:left="313" w:hanging="283"/>
              <w:rPr>
                <w:szCs w:val="20"/>
              </w:rPr>
            </w:pPr>
            <w:r w:rsidRPr="00A329AD">
              <w:rPr>
                <w:szCs w:val="20"/>
              </w:rPr>
              <w:lastRenderedPageBreak/>
              <w:t xml:space="preserve">Trgovci; Zanimanja ugostiteljstva i </w:t>
            </w:r>
            <w:r w:rsidRPr="00A329AD">
              <w:rPr>
                <w:szCs w:val="20"/>
              </w:rPr>
              <w:lastRenderedPageBreak/>
              <w:t>turizma, zanimanja ličnih usluga</w:t>
            </w:r>
            <w:r>
              <w:rPr>
                <w:szCs w:val="20"/>
              </w:rPr>
              <w:t xml:space="preserve"> </w:t>
            </w:r>
            <w:r w:rsidRPr="00A329AD">
              <w:rPr>
                <w:szCs w:val="20"/>
              </w:rPr>
              <w:t>(frizer za žene); Mehaničari i mašinisti; Proizvođaći odjeće; Elektromehaničari; Administrator; Građevinari; Zanimanja završnih građ. radova; Monteri i instalateri u mašinstvu; itd.</w:t>
            </w:r>
          </w:p>
          <w:p w:rsidR="00E3466A" w:rsidRPr="00A329AD" w:rsidRDefault="00E3466A" w:rsidP="005526BB">
            <w:pPr>
              <w:pStyle w:val="ListParagraph"/>
              <w:numPr>
                <w:ilvl w:val="0"/>
                <w:numId w:val="22"/>
              </w:numPr>
              <w:ind w:left="313" w:hanging="283"/>
              <w:rPr>
                <w:szCs w:val="20"/>
              </w:rPr>
            </w:pPr>
            <w:r w:rsidRPr="00A329AD">
              <w:rPr>
                <w:szCs w:val="20"/>
              </w:rPr>
              <w:t>Zanimanja za koj</w:t>
            </w:r>
            <w:r w:rsidR="00676BE5">
              <w:rPr>
                <w:szCs w:val="20"/>
              </w:rPr>
              <w:t>a</w:t>
            </w:r>
            <w:r w:rsidRPr="00A329AD">
              <w:rPr>
                <w:szCs w:val="20"/>
              </w:rPr>
              <w:t xml:space="preserve"> nije bilo potražnje: Hemičari, Tekstilci, itd.</w:t>
            </w:r>
          </w:p>
        </w:tc>
      </w:tr>
      <w:tr w:rsidR="00E3466A" w:rsidRPr="00A329AD" w:rsidTr="00E3466A">
        <w:tc>
          <w:tcPr>
            <w:tcW w:w="98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E3466A" w:rsidRPr="00A329AD" w:rsidRDefault="00E3466A" w:rsidP="005526BB">
            <w:pPr>
              <w:jc w:val="center"/>
              <w:rPr>
                <w:szCs w:val="20"/>
              </w:rPr>
            </w:pPr>
            <w:r w:rsidRPr="00A329AD">
              <w:rPr>
                <w:szCs w:val="20"/>
              </w:rPr>
              <w:lastRenderedPageBreak/>
              <w:t>IV.</w:t>
            </w:r>
          </w:p>
        </w:tc>
        <w:tc>
          <w:tcPr>
            <w:tcW w:w="4252" w:type="dxa"/>
            <w:tcBorders>
              <w:top w:val="dotted" w:sz="4" w:space="0" w:color="auto"/>
              <w:left w:val="dotted" w:sz="4" w:space="0" w:color="auto"/>
              <w:bottom w:val="dotted" w:sz="4" w:space="0" w:color="auto"/>
              <w:right w:val="dotted" w:sz="4" w:space="0" w:color="auto"/>
            </w:tcBorders>
            <w:hideMark/>
          </w:tcPr>
          <w:p w:rsidR="00E3466A" w:rsidRPr="00A329AD" w:rsidRDefault="00E3466A" w:rsidP="005526BB">
            <w:pPr>
              <w:pStyle w:val="ListParagraph"/>
              <w:numPr>
                <w:ilvl w:val="0"/>
                <w:numId w:val="22"/>
              </w:numPr>
              <w:ind w:left="313"/>
              <w:rPr>
                <w:szCs w:val="20"/>
              </w:rPr>
            </w:pPr>
            <w:r w:rsidRPr="00A329AD">
              <w:rPr>
                <w:szCs w:val="20"/>
              </w:rPr>
              <w:t>Ekonomisti; Trgovci; Društveno- humanistička zanimanja, Hemičari, Građevinari, Zanimanja drumskog saobra</w:t>
            </w:r>
            <w:r w:rsidR="00CF78A8">
              <w:rPr>
                <w:szCs w:val="20"/>
              </w:rPr>
              <w:t>ć</w:t>
            </w:r>
            <w:r w:rsidRPr="00A329AD">
              <w:rPr>
                <w:szCs w:val="20"/>
              </w:rPr>
              <w:t xml:space="preserve">aja; Elektroenergetičari, Mehaničari </w:t>
            </w:r>
            <w:r w:rsidR="00676BE5">
              <w:rPr>
                <w:szCs w:val="20"/>
              </w:rPr>
              <w:t>i</w:t>
            </w:r>
            <w:r w:rsidR="00676BE5" w:rsidRPr="00A329AD">
              <w:rPr>
                <w:szCs w:val="20"/>
              </w:rPr>
              <w:t xml:space="preserve"> </w:t>
            </w:r>
            <w:r w:rsidRPr="00A329AD">
              <w:rPr>
                <w:szCs w:val="20"/>
              </w:rPr>
              <w:t xml:space="preserve">mašinisti; Mašinski konstruktori i projektanti, itd. </w:t>
            </w:r>
          </w:p>
          <w:p w:rsidR="00E3466A" w:rsidRPr="00A329AD" w:rsidRDefault="00E3466A" w:rsidP="005526BB">
            <w:pPr>
              <w:pStyle w:val="ListParagraph"/>
              <w:numPr>
                <w:ilvl w:val="0"/>
                <w:numId w:val="22"/>
              </w:numPr>
              <w:ind w:left="313"/>
              <w:rPr>
                <w:szCs w:val="20"/>
              </w:rPr>
            </w:pPr>
            <w:r w:rsidRPr="00A329AD">
              <w:rPr>
                <w:szCs w:val="20"/>
              </w:rPr>
              <w:t>Zanimanja za koj</w:t>
            </w:r>
            <w:r w:rsidR="00676BE5">
              <w:rPr>
                <w:szCs w:val="20"/>
              </w:rPr>
              <w:t>a</w:t>
            </w:r>
            <w:r w:rsidRPr="00A329AD">
              <w:rPr>
                <w:szCs w:val="20"/>
              </w:rPr>
              <w:t xml:space="preserve"> nije bilo potražnje, npr. Prerađiva</w:t>
            </w:r>
            <w:r w:rsidR="00676BE5">
              <w:rPr>
                <w:szCs w:val="20"/>
              </w:rPr>
              <w:t>č</w:t>
            </w:r>
            <w:r w:rsidRPr="00A329AD">
              <w:rPr>
                <w:szCs w:val="20"/>
              </w:rPr>
              <w:t>i i obrađivaći drveta; Prerađiva</w:t>
            </w:r>
            <w:r w:rsidR="00676BE5">
              <w:rPr>
                <w:szCs w:val="20"/>
              </w:rPr>
              <w:t>č</w:t>
            </w:r>
            <w:r w:rsidRPr="00A329AD">
              <w:rPr>
                <w:szCs w:val="20"/>
              </w:rPr>
              <w:t>i hrane i pica; Administrator, Proizvođa</w:t>
            </w:r>
            <w:r w:rsidR="00676BE5">
              <w:rPr>
                <w:szCs w:val="20"/>
              </w:rPr>
              <w:t>č</w:t>
            </w:r>
            <w:r w:rsidRPr="00A329AD">
              <w:rPr>
                <w:szCs w:val="20"/>
              </w:rPr>
              <w:t>i odjeće; Scenski umjetnici; Proizvođa</w:t>
            </w:r>
            <w:r w:rsidR="00676BE5">
              <w:rPr>
                <w:szCs w:val="20"/>
              </w:rPr>
              <w:t>č</w:t>
            </w:r>
            <w:r w:rsidRPr="00A329AD">
              <w:rPr>
                <w:szCs w:val="20"/>
              </w:rPr>
              <w:t xml:space="preserve">i bilja,  </w:t>
            </w:r>
          </w:p>
        </w:tc>
        <w:tc>
          <w:tcPr>
            <w:tcW w:w="3827" w:type="dxa"/>
            <w:tcBorders>
              <w:top w:val="dotted" w:sz="4" w:space="0" w:color="auto"/>
              <w:left w:val="dotted" w:sz="4" w:space="0" w:color="auto"/>
              <w:bottom w:val="dotted" w:sz="4" w:space="0" w:color="auto"/>
              <w:right w:val="dotted" w:sz="4" w:space="0" w:color="auto"/>
            </w:tcBorders>
            <w:hideMark/>
          </w:tcPr>
          <w:p w:rsidR="00E3466A" w:rsidRPr="00A329AD" w:rsidRDefault="00E3466A" w:rsidP="005526BB">
            <w:pPr>
              <w:pStyle w:val="ListParagraph"/>
              <w:numPr>
                <w:ilvl w:val="0"/>
                <w:numId w:val="22"/>
              </w:numPr>
              <w:ind w:left="313"/>
              <w:rPr>
                <w:szCs w:val="20"/>
              </w:rPr>
            </w:pPr>
            <w:r w:rsidRPr="00A329AD">
              <w:rPr>
                <w:szCs w:val="20"/>
              </w:rPr>
              <w:t>Trgovci; Zanimanja ugostiteljstva i turizma (turistički tehničar); Društveno-humanistička zanimanja; Gimnazijski maturant; Hemičari; Zanimanja drumskog saobra</w:t>
            </w:r>
            <w:r w:rsidR="00676BE5">
              <w:rPr>
                <w:szCs w:val="20"/>
              </w:rPr>
              <w:t>ć</w:t>
            </w:r>
            <w:r w:rsidRPr="00A329AD">
              <w:rPr>
                <w:szCs w:val="20"/>
              </w:rPr>
              <w:t xml:space="preserve">aja; Pravnici; Građevinari; Mehaničari </w:t>
            </w:r>
            <w:r w:rsidR="00676BE5">
              <w:rPr>
                <w:szCs w:val="20"/>
              </w:rPr>
              <w:t>i</w:t>
            </w:r>
            <w:r>
              <w:rPr>
                <w:szCs w:val="20"/>
              </w:rPr>
              <w:t xml:space="preserve"> </w:t>
            </w:r>
            <w:r w:rsidRPr="00A329AD">
              <w:rPr>
                <w:szCs w:val="20"/>
              </w:rPr>
              <w:t xml:space="preserve">mašinisti; Zanimanja telekomunikacije; Zanimanja </w:t>
            </w:r>
            <w:r w:rsidRPr="0074238C">
              <w:rPr>
                <w:szCs w:val="20"/>
              </w:rPr>
              <w:t>račun</w:t>
            </w:r>
            <w:r w:rsidR="00676BE5" w:rsidRPr="0074238C">
              <w:rPr>
                <w:szCs w:val="20"/>
              </w:rPr>
              <w:t>ar</w:t>
            </w:r>
            <w:r w:rsidRPr="0074238C">
              <w:rPr>
                <w:szCs w:val="20"/>
              </w:rPr>
              <w:t xml:space="preserve">ske </w:t>
            </w:r>
            <w:r w:rsidRPr="00A329AD">
              <w:rPr>
                <w:szCs w:val="20"/>
              </w:rPr>
              <w:t>tehnike, Elektromehaničar; Mašinski tehnolozi; Farmaceuti, itd</w:t>
            </w:r>
          </w:p>
        </w:tc>
      </w:tr>
      <w:tr w:rsidR="00E3466A" w:rsidRPr="00A329AD" w:rsidTr="00E3466A">
        <w:tc>
          <w:tcPr>
            <w:tcW w:w="98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E3466A" w:rsidRPr="00A329AD" w:rsidRDefault="00E3466A" w:rsidP="005526BB">
            <w:pPr>
              <w:jc w:val="center"/>
              <w:rPr>
                <w:szCs w:val="20"/>
              </w:rPr>
            </w:pPr>
            <w:r w:rsidRPr="00A329AD">
              <w:rPr>
                <w:szCs w:val="20"/>
              </w:rPr>
              <w:t>VII.</w:t>
            </w:r>
          </w:p>
        </w:tc>
        <w:tc>
          <w:tcPr>
            <w:tcW w:w="4252" w:type="dxa"/>
            <w:tcBorders>
              <w:top w:val="dotted" w:sz="4" w:space="0" w:color="auto"/>
              <w:left w:val="dotted" w:sz="4" w:space="0" w:color="auto"/>
              <w:bottom w:val="dotted" w:sz="4" w:space="0" w:color="auto"/>
              <w:right w:val="dotted" w:sz="4" w:space="0" w:color="auto"/>
            </w:tcBorders>
            <w:hideMark/>
          </w:tcPr>
          <w:p w:rsidR="00E3466A" w:rsidRPr="00A329AD" w:rsidRDefault="00E3466A" w:rsidP="005526BB">
            <w:pPr>
              <w:pStyle w:val="ListParagraph"/>
              <w:numPr>
                <w:ilvl w:val="0"/>
                <w:numId w:val="22"/>
              </w:numPr>
              <w:ind w:left="313"/>
              <w:rPr>
                <w:szCs w:val="20"/>
              </w:rPr>
            </w:pPr>
            <w:r w:rsidRPr="00A329AD">
              <w:rPr>
                <w:szCs w:val="20"/>
              </w:rPr>
              <w:t>Menadžeri i organizatori; Pravnici, Ekonomisti; Društveno-humanistička zanimanja; Zanimanja odbrane, bezbjednosti i zaštite; Vaspitači i nastavnici društveno-humanističke oblasti; Prirodno-matematička zanimanja; Zanimanja ugostiteljstva i turizma; Zanimanja računarske tehnike; Likovni umjetnici, itd.</w:t>
            </w:r>
          </w:p>
        </w:tc>
        <w:tc>
          <w:tcPr>
            <w:tcW w:w="3827" w:type="dxa"/>
            <w:tcBorders>
              <w:top w:val="dotted" w:sz="4" w:space="0" w:color="auto"/>
              <w:left w:val="dotted" w:sz="4" w:space="0" w:color="auto"/>
              <w:bottom w:val="dotted" w:sz="4" w:space="0" w:color="auto"/>
              <w:right w:val="dotted" w:sz="4" w:space="0" w:color="auto"/>
            </w:tcBorders>
            <w:hideMark/>
          </w:tcPr>
          <w:p w:rsidR="00E3466A" w:rsidRPr="00A329AD" w:rsidRDefault="00E3466A" w:rsidP="005526BB">
            <w:pPr>
              <w:pStyle w:val="ListParagraph"/>
              <w:numPr>
                <w:ilvl w:val="0"/>
                <w:numId w:val="22"/>
              </w:numPr>
              <w:ind w:left="313"/>
              <w:rPr>
                <w:szCs w:val="20"/>
              </w:rPr>
            </w:pPr>
            <w:r w:rsidRPr="00A329AD">
              <w:rPr>
                <w:szCs w:val="20"/>
              </w:rPr>
              <w:t xml:space="preserve">Trgovci; Hemičari; Mašinski konstruktori </w:t>
            </w:r>
            <w:r>
              <w:rPr>
                <w:szCs w:val="20"/>
              </w:rPr>
              <w:t>i</w:t>
            </w:r>
            <w:r w:rsidRPr="00A329AD">
              <w:rPr>
                <w:szCs w:val="20"/>
              </w:rPr>
              <w:t xml:space="preserve"> projektanti; Metalurzi, Stočari I živinari, Elektroene</w:t>
            </w:r>
            <w:r w:rsidR="00676BE5">
              <w:rPr>
                <w:szCs w:val="20"/>
              </w:rPr>
              <w:t>r</w:t>
            </w:r>
            <w:r w:rsidRPr="00A329AD">
              <w:rPr>
                <w:szCs w:val="20"/>
              </w:rPr>
              <w:t>getičari</w:t>
            </w:r>
          </w:p>
        </w:tc>
      </w:tr>
    </w:tbl>
    <w:p w:rsidR="00591D9F" w:rsidRDefault="00591D9F" w:rsidP="00385224">
      <w:pPr>
        <w:pStyle w:val="Heading3"/>
      </w:pPr>
    </w:p>
    <w:p w:rsidR="00E3466A" w:rsidRPr="00385224" w:rsidRDefault="00E3466A" w:rsidP="00385224">
      <w:pPr>
        <w:pStyle w:val="Heading3"/>
      </w:pPr>
      <w:r w:rsidRPr="00385224">
        <w:t xml:space="preserve">3.5.2 Potrebe poslodavaca u djelatnosti trgovine </w:t>
      </w:r>
    </w:p>
    <w:p w:rsidR="00E3466A" w:rsidRDefault="00E3466A" w:rsidP="005526BB">
      <w:pPr>
        <w:jc w:val="both"/>
        <w:rPr>
          <w:rFonts w:cs="Arial"/>
          <w:color w:val="000000" w:themeColor="text1"/>
          <w:sz w:val="22"/>
          <w:szCs w:val="22"/>
        </w:rPr>
      </w:pPr>
    </w:p>
    <w:p w:rsidR="00E3466A" w:rsidRPr="00A329AD" w:rsidRDefault="00E3466A" w:rsidP="005526BB">
      <w:pPr>
        <w:jc w:val="both"/>
        <w:rPr>
          <w:sz w:val="22"/>
          <w:szCs w:val="22"/>
          <w:lang w:val="bs-Latn-BA"/>
        </w:rPr>
      </w:pPr>
      <w:r w:rsidRPr="00A329AD">
        <w:rPr>
          <w:rFonts w:cs="Arial"/>
          <w:color w:val="000000" w:themeColor="text1"/>
          <w:sz w:val="22"/>
          <w:szCs w:val="22"/>
        </w:rPr>
        <w:t>Kako bi se prikupili podaci i informacije o potrebama poslodavaca u Podgorici</w:t>
      </w:r>
      <w:r w:rsidR="00676BE5">
        <w:rPr>
          <w:rFonts w:cs="Arial"/>
          <w:color w:val="000000" w:themeColor="text1"/>
          <w:sz w:val="22"/>
          <w:szCs w:val="22"/>
        </w:rPr>
        <w:t>,</w:t>
      </w:r>
      <w:r w:rsidRPr="00A329AD">
        <w:rPr>
          <w:rFonts w:cs="Arial"/>
          <w:color w:val="000000" w:themeColor="text1"/>
          <w:sz w:val="22"/>
          <w:szCs w:val="22"/>
        </w:rPr>
        <w:t xml:space="preserve"> Sekretarijat za preduzetništvo Gradske uprave </w:t>
      </w:r>
      <w:r w:rsidRPr="00A329AD">
        <w:rPr>
          <w:sz w:val="22"/>
          <w:szCs w:val="22"/>
          <w:lang w:val="bs-Latn-BA"/>
        </w:rPr>
        <w:t xml:space="preserve">vodio je proces konsultacija sa 15 poslodavaca, uglavnom iz djelatnosti trgovine, sa većim brojem radnika. Zbog pandemije, poslodavci su  uspjeli da sačuvaju radna mjesta za stalno zaposlene, dok </w:t>
      </w:r>
      <w:r w:rsidR="00676BE5" w:rsidRPr="00A329AD">
        <w:rPr>
          <w:sz w:val="22"/>
          <w:szCs w:val="22"/>
          <w:lang w:val="bs-Latn-BA"/>
        </w:rPr>
        <w:t xml:space="preserve">je </w:t>
      </w:r>
      <w:r w:rsidRPr="00A329AD">
        <w:rPr>
          <w:sz w:val="22"/>
          <w:szCs w:val="22"/>
          <w:lang w:val="bs-Latn-BA"/>
        </w:rPr>
        <w:t>potražnja za sezonskim radnicima prepolovljena. Poslodavci su or</w:t>
      </w:r>
      <w:r w:rsidR="00676BE5">
        <w:rPr>
          <w:sz w:val="22"/>
          <w:szCs w:val="22"/>
          <w:lang w:val="bs-Latn-BA"/>
        </w:rPr>
        <w:t>i</w:t>
      </w:r>
      <w:r w:rsidRPr="00A329AD">
        <w:rPr>
          <w:sz w:val="22"/>
          <w:szCs w:val="22"/>
          <w:lang w:val="bs-Latn-BA"/>
        </w:rPr>
        <w:t xml:space="preserve">jentisani na domaću radnu snagu a i strance sa stalnim prebivalištem. Dokvalifikacije i obuke koriste kao mjere da se nadomijesti nedostatak kvalitetne  radne snage. </w:t>
      </w:r>
    </w:p>
    <w:p w:rsidR="00E3466A" w:rsidRPr="00A329AD" w:rsidRDefault="00E3466A" w:rsidP="005526BB">
      <w:pPr>
        <w:jc w:val="both"/>
        <w:rPr>
          <w:sz w:val="22"/>
          <w:szCs w:val="22"/>
          <w:lang w:val="bs-Latn-BA"/>
        </w:rPr>
      </w:pPr>
      <w:r w:rsidRPr="00A329AD">
        <w:rPr>
          <w:sz w:val="22"/>
          <w:szCs w:val="22"/>
          <w:lang w:val="bs-Latn-BA"/>
        </w:rPr>
        <w:t xml:space="preserve">Većina radne snage konsultovanih poslodavaca (oko 70%) su žene: prodavačice, kasirke, spremačice, dok su muškarci najčešće magacioneri, mesari, kuvari, pekari, slastičari, konobari. Od ovih zanimanja u deficitu su mesari, dok je za ostale u velikom broju slučajeva neophodna dodatna obuka, jer praktična znanja i vještine koje posjeduju nezaposlena lica nijesu na dovoljno visokom nivou. </w:t>
      </w:r>
    </w:p>
    <w:p w:rsidR="00E3466A" w:rsidRPr="00477BEB" w:rsidRDefault="00E3466A" w:rsidP="005526BB">
      <w:pPr>
        <w:rPr>
          <w:sz w:val="22"/>
          <w:szCs w:val="22"/>
          <w:lang w:val="bs-Latn-BA"/>
        </w:rPr>
      </w:pPr>
    </w:p>
    <w:p w:rsidR="00E3466A" w:rsidRPr="00A329AD" w:rsidRDefault="00E3466A" w:rsidP="005526BB">
      <w:pPr>
        <w:jc w:val="both"/>
        <w:rPr>
          <w:sz w:val="22"/>
          <w:szCs w:val="22"/>
          <w:lang w:val="bs-Latn-BA"/>
        </w:rPr>
      </w:pPr>
      <w:r w:rsidRPr="00A329AD">
        <w:rPr>
          <w:sz w:val="22"/>
          <w:szCs w:val="22"/>
          <w:lang w:val="bs-Latn-BA"/>
        </w:rPr>
        <w:t>Svi konsultovani poslodavci su iskazali interes</w:t>
      </w:r>
      <w:r w:rsidR="00676BE5">
        <w:rPr>
          <w:sz w:val="22"/>
          <w:szCs w:val="22"/>
          <w:lang w:val="bs-Latn-BA"/>
        </w:rPr>
        <w:t>ovanje</w:t>
      </w:r>
      <w:r w:rsidRPr="00A329AD">
        <w:rPr>
          <w:sz w:val="22"/>
          <w:szCs w:val="22"/>
          <w:lang w:val="bs-Latn-BA"/>
        </w:rPr>
        <w:t xml:space="preserve"> da ulažu  u obrazovanje  kandidata i zaposlenih, a neki od njih već imaju opredijeljena finansijska sredstva za tu svrhu. Dodatno, neki poslodavci ulažu u ljudske resurse dugoročno, te daju mogućnost napredovanja zaposlenima koji se obrazuju i usavršavaju. </w:t>
      </w:r>
    </w:p>
    <w:p w:rsidR="00E3466A" w:rsidRDefault="00E3466A" w:rsidP="005526BB">
      <w:pPr>
        <w:jc w:val="both"/>
        <w:rPr>
          <w:sz w:val="22"/>
          <w:szCs w:val="22"/>
          <w:lang w:val="bs-Latn-BA"/>
        </w:rPr>
      </w:pPr>
    </w:p>
    <w:p w:rsidR="00E3466A" w:rsidRPr="00A329AD" w:rsidRDefault="00E3466A" w:rsidP="005526BB">
      <w:pPr>
        <w:jc w:val="both"/>
        <w:rPr>
          <w:sz w:val="22"/>
          <w:szCs w:val="22"/>
          <w:lang w:val="bs-Latn-BA"/>
        </w:rPr>
      </w:pPr>
      <w:r w:rsidRPr="00A329AD">
        <w:rPr>
          <w:sz w:val="22"/>
          <w:szCs w:val="22"/>
          <w:lang w:val="bs-Latn-BA"/>
        </w:rPr>
        <w:t xml:space="preserve">Što se tiče očekivanja od novih radnika, </w:t>
      </w:r>
      <w:r>
        <w:rPr>
          <w:sz w:val="22"/>
          <w:szCs w:val="22"/>
          <w:lang w:val="bs-Latn-BA"/>
        </w:rPr>
        <w:t xml:space="preserve">poslodavci najčešće navode </w:t>
      </w:r>
      <w:r w:rsidRPr="00A329AD">
        <w:rPr>
          <w:sz w:val="22"/>
          <w:szCs w:val="22"/>
          <w:lang w:val="bs-Latn-BA"/>
        </w:rPr>
        <w:t>motivisanost, tačnost,  znanje, radno iskustvo, efikasnost na radu, dobro upravljanje vremenom</w:t>
      </w:r>
      <w:r>
        <w:rPr>
          <w:sz w:val="22"/>
          <w:szCs w:val="22"/>
          <w:lang w:val="bs-Latn-BA"/>
        </w:rPr>
        <w:t xml:space="preserve"> i</w:t>
      </w:r>
      <w:r w:rsidRPr="00A329AD">
        <w:rPr>
          <w:sz w:val="22"/>
          <w:szCs w:val="22"/>
          <w:lang w:val="bs-Latn-BA"/>
        </w:rPr>
        <w:t xml:space="preserve"> spremnost za timski rad. Dodatno, poslodavcima je važno da kandidati imaju sposobnost prilagođavanju promjenama, inovativnost i vještine rješavanja problema. Takođe </w:t>
      </w:r>
      <w:r>
        <w:rPr>
          <w:sz w:val="22"/>
          <w:szCs w:val="22"/>
          <w:lang w:val="bs-Latn-BA"/>
        </w:rPr>
        <w:t>poslodavci u tom sektoru djel</w:t>
      </w:r>
      <w:r w:rsidR="00591D9F">
        <w:rPr>
          <w:sz w:val="22"/>
          <w:szCs w:val="22"/>
          <w:lang w:val="bs-Latn-BA"/>
        </w:rPr>
        <w:t>a</w:t>
      </w:r>
      <w:r>
        <w:rPr>
          <w:sz w:val="22"/>
          <w:szCs w:val="22"/>
          <w:lang w:val="bs-Latn-BA"/>
        </w:rPr>
        <w:t>tnosti poseban značaj daju i l</w:t>
      </w:r>
      <w:r w:rsidRPr="00A329AD">
        <w:rPr>
          <w:sz w:val="22"/>
          <w:szCs w:val="22"/>
          <w:lang w:val="bs-Latn-BA"/>
        </w:rPr>
        <w:t>ičn</w:t>
      </w:r>
      <w:r>
        <w:rPr>
          <w:sz w:val="22"/>
          <w:szCs w:val="22"/>
          <w:lang w:val="bs-Latn-BA"/>
        </w:rPr>
        <w:t xml:space="preserve">om izgledu u smislu </w:t>
      </w:r>
      <w:r w:rsidRPr="00A329AD">
        <w:rPr>
          <w:sz w:val="22"/>
          <w:szCs w:val="22"/>
          <w:lang w:val="bs-Latn-BA"/>
        </w:rPr>
        <w:t>ured</w:t>
      </w:r>
      <w:r>
        <w:rPr>
          <w:sz w:val="22"/>
          <w:szCs w:val="22"/>
          <w:lang w:val="bs-Latn-BA"/>
        </w:rPr>
        <w:t xml:space="preserve">nosti kandidata </w:t>
      </w:r>
      <w:r w:rsidRPr="00A329AD">
        <w:rPr>
          <w:sz w:val="22"/>
          <w:szCs w:val="22"/>
          <w:lang w:val="bs-Latn-BA"/>
        </w:rPr>
        <w:t>i propisno</w:t>
      </w:r>
      <w:r>
        <w:rPr>
          <w:sz w:val="22"/>
          <w:szCs w:val="22"/>
          <w:lang w:val="bs-Latn-BA"/>
        </w:rPr>
        <w:t>g</w:t>
      </w:r>
      <w:r w:rsidRPr="00A329AD">
        <w:rPr>
          <w:sz w:val="22"/>
          <w:szCs w:val="22"/>
          <w:lang w:val="bs-Latn-BA"/>
        </w:rPr>
        <w:t xml:space="preserve"> poslovno</w:t>
      </w:r>
      <w:r>
        <w:rPr>
          <w:sz w:val="22"/>
          <w:szCs w:val="22"/>
          <w:lang w:val="bs-Latn-BA"/>
        </w:rPr>
        <w:t>g</w:t>
      </w:r>
      <w:r w:rsidRPr="00A329AD">
        <w:rPr>
          <w:sz w:val="22"/>
          <w:szCs w:val="22"/>
          <w:lang w:val="bs-Latn-BA"/>
        </w:rPr>
        <w:t xml:space="preserve"> odjev</w:t>
      </w:r>
      <w:r>
        <w:rPr>
          <w:sz w:val="22"/>
          <w:szCs w:val="22"/>
          <w:lang w:val="bs-Latn-BA"/>
        </w:rPr>
        <w:t>anja</w:t>
      </w:r>
      <w:r w:rsidRPr="00A329AD">
        <w:rPr>
          <w:sz w:val="22"/>
          <w:szCs w:val="22"/>
          <w:lang w:val="bs-Latn-BA"/>
        </w:rPr>
        <w:t xml:space="preserve">. </w:t>
      </w:r>
    </w:p>
    <w:p w:rsidR="00E3466A" w:rsidRPr="00A329AD" w:rsidRDefault="00E3466A" w:rsidP="005526BB">
      <w:pPr>
        <w:shd w:val="clear" w:color="auto" w:fill="FFFFFF"/>
        <w:jc w:val="both"/>
        <w:rPr>
          <w:rFonts w:eastAsia="Times New Roman"/>
          <w:sz w:val="22"/>
          <w:szCs w:val="22"/>
          <w:lang w:val="bs-Latn-BA"/>
        </w:rPr>
      </w:pPr>
      <w:r>
        <w:rPr>
          <w:rFonts w:eastAsia="Times New Roman"/>
          <w:sz w:val="22"/>
          <w:szCs w:val="22"/>
          <w:lang w:val="bs-Latn-BA"/>
        </w:rPr>
        <w:t>Pružanje</w:t>
      </w:r>
      <w:r w:rsidRPr="00A329AD">
        <w:rPr>
          <w:rFonts w:eastAsia="Times New Roman"/>
          <w:sz w:val="22"/>
          <w:szCs w:val="22"/>
          <w:lang w:val="bs-Latn-BA"/>
        </w:rPr>
        <w:t xml:space="preserve"> finansijske podrške za obrazovanje i zapošljavanje, kao i spremnost kandidata da uče i rade bi dodatno motivisala poslodavce da se aktivno uključe u ovakve mjere. </w:t>
      </w:r>
    </w:p>
    <w:p w:rsidR="00E3466A" w:rsidRDefault="00E3466A" w:rsidP="005526BB">
      <w:pPr>
        <w:jc w:val="both"/>
        <w:rPr>
          <w:sz w:val="22"/>
          <w:szCs w:val="22"/>
          <w:highlight w:val="yellow"/>
        </w:rPr>
      </w:pPr>
    </w:p>
    <w:p w:rsidR="00E3466A" w:rsidRPr="00FC2D96" w:rsidRDefault="00E3466A" w:rsidP="00385224">
      <w:pPr>
        <w:pStyle w:val="Heading3"/>
      </w:pPr>
      <w:r w:rsidRPr="00FC2D96">
        <w:lastRenderedPageBreak/>
        <w:t xml:space="preserve">3.5.3 Znanja i vještine </w:t>
      </w:r>
      <w:r w:rsidR="00676BE5" w:rsidRPr="00FC2D96">
        <w:t xml:space="preserve">koji </w:t>
      </w:r>
      <w:r w:rsidRPr="00FC2D96">
        <w:t>su potrebn</w:t>
      </w:r>
      <w:r w:rsidR="00676BE5" w:rsidRPr="00FC2D96">
        <w:t>i</w:t>
      </w:r>
      <w:r w:rsidRPr="00FC2D96">
        <w:t xml:space="preserve"> s aspekta daljeg socio-ekonomskog razvoja Glavnog grada</w:t>
      </w:r>
    </w:p>
    <w:p w:rsidR="00E3466A" w:rsidRDefault="00E3466A" w:rsidP="005526BB">
      <w:pPr>
        <w:jc w:val="both"/>
        <w:rPr>
          <w:sz w:val="22"/>
          <w:szCs w:val="22"/>
          <w:highlight w:val="yellow"/>
        </w:rPr>
      </w:pPr>
    </w:p>
    <w:p w:rsidR="00E3466A" w:rsidRPr="00E178E2" w:rsidRDefault="00E3466A" w:rsidP="005526BB">
      <w:pPr>
        <w:jc w:val="both"/>
        <w:rPr>
          <w:bCs/>
          <w:sz w:val="22"/>
          <w:szCs w:val="22"/>
          <w:lang w:val="bs-Latn-BA"/>
        </w:rPr>
      </w:pPr>
      <w:r w:rsidRPr="00180E5C">
        <w:rPr>
          <w:sz w:val="22"/>
          <w:szCs w:val="22"/>
        </w:rPr>
        <w:t xml:space="preserve">Što se tiče znanja i vještina </w:t>
      </w:r>
      <w:r w:rsidR="00676BE5" w:rsidRPr="00180E5C">
        <w:rPr>
          <w:sz w:val="22"/>
          <w:szCs w:val="22"/>
        </w:rPr>
        <w:t>koj</w:t>
      </w:r>
      <w:r w:rsidR="00676BE5">
        <w:rPr>
          <w:sz w:val="22"/>
          <w:szCs w:val="22"/>
        </w:rPr>
        <w:t>i</w:t>
      </w:r>
      <w:r w:rsidR="00676BE5" w:rsidRPr="00180E5C">
        <w:rPr>
          <w:sz w:val="22"/>
          <w:szCs w:val="22"/>
        </w:rPr>
        <w:t xml:space="preserve"> </w:t>
      </w:r>
      <w:r w:rsidRPr="00180E5C">
        <w:rPr>
          <w:sz w:val="22"/>
          <w:szCs w:val="22"/>
        </w:rPr>
        <w:t xml:space="preserve">bi </w:t>
      </w:r>
      <w:r w:rsidR="00676BE5" w:rsidRPr="00180E5C">
        <w:rPr>
          <w:sz w:val="22"/>
          <w:szCs w:val="22"/>
        </w:rPr>
        <w:t>mogl</w:t>
      </w:r>
      <w:r w:rsidR="00676BE5">
        <w:rPr>
          <w:sz w:val="22"/>
          <w:szCs w:val="22"/>
        </w:rPr>
        <w:t>i</w:t>
      </w:r>
      <w:r w:rsidR="00676BE5" w:rsidRPr="00180E5C">
        <w:rPr>
          <w:sz w:val="22"/>
          <w:szCs w:val="22"/>
        </w:rPr>
        <w:t xml:space="preserve"> </w:t>
      </w:r>
      <w:r w:rsidRPr="00180E5C">
        <w:rPr>
          <w:sz w:val="22"/>
          <w:szCs w:val="22"/>
        </w:rPr>
        <w:t>doprinijeti bržem postizanju strateških ciljeva</w:t>
      </w:r>
      <w:r>
        <w:rPr>
          <w:sz w:val="22"/>
          <w:szCs w:val="22"/>
        </w:rPr>
        <w:t xml:space="preserve"> Glavnog grada Podgorice</w:t>
      </w:r>
      <w:r w:rsidRPr="00180E5C">
        <w:rPr>
          <w:sz w:val="22"/>
          <w:szCs w:val="22"/>
        </w:rPr>
        <w:t xml:space="preserve">, predstavnici </w:t>
      </w:r>
      <w:r>
        <w:rPr>
          <w:sz w:val="22"/>
          <w:szCs w:val="22"/>
        </w:rPr>
        <w:t xml:space="preserve">lokalnog partnerstva za zapošljavanje </w:t>
      </w:r>
      <w:r w:rsidRPr="00180E5C">
        <w:rPr>
          <w:sz w:val="22"/>
          <w:szCs w:val="22"/>
        </w:rPr>
        <w:t xml:space="preserve">su naveli da će značajnu ulogu odigrati prvi </w:t>
      </w:r>
      <w:r w:rsidRPr="00E178E2">
        <w:rPr>
          <w:bCs/>
          <w:i/>
          <w:iCs/>
          <w:sz w:val="22"/>
          <w:szCs w:val="22"/>
          <w:lang w:val="bs-Latn-BA"/>
        </w:rPr>
        <w:t>Naučno tehnološki park</w:t>
      </w:r>
      <w:r w:rsidRPr="00E178E2">
        <w:rPr>
          <w:bCs/>
          <w:sz w:val="22"/>
          <w:szCs w:val="22"/>
          <w:lang w:val="bs-Latn-BA"/>
        </w:rPr>
        <w:t>, čija je gradnja započela u junu 2020. godine. Stavljanje u funkciju tehnološkog parka pretpostavljaće okupljanje firmi koje se bave sofisticiranim proizvodima i uslugama, pokretanje naučne laboratorije, te biznis inkubatora.</w:t>
      </w:r>
    </w:p>
    <w:p w:rsidR="00E3466A" w:rsidRDefault="00E3466A" w:rsidP="005526BB">
      <w:pPr>
        <w:jc w:val="both"/>
        <w:rPr>
          <w:sz w:val="22"/>
          <w:szCs w:val="22"/>
        </w:rPr>
      </w:pPr>
    </w:p>
    <w:p w:rsidR="00E3466A" w:rsidRPr="00AA426D" w:rsidRDefault="00E3466A" w:rsidP="005526BB">
      <w:pPr>
        <w:jc w:val="both"/>
        <w:rPr>
          <w:sz w:val="22"/>
          <w:szCs w:val="22"/>
        </w:rPr>
      </w:pPr>
      <w:r w:rsidRPr="00AA426D">
        <w:rPr>
          <w:sz w:val="22"/>
          <w:szCs w:val="22"/>
        </w:rPr>
        <w:t xml:space="preserve">Takođe, očekuje se da će potražnju za novim znanjima i vještinama stimulisati i nedavno donesene mjere lokalne uprave za poboljšanje poslovnog ambijenta, koje se odnose na uspostavljanje biznis zona i davanje u zakup poljoprivrednog zemljišta po povoljnim uslovima. </w:t>
      </w:r>
    </w:p>
    <w:p w:rsidR="00E3466A" w:rsidRPr="00AA426D" w:rsidRDefault="00E3466A" w:rsidP="005526BB">
      <w:pPr>
        <w:jc w:val="both"/>
        <w:rPr>
          <w:sz w:val="22"/>
          <w:szCs w:val="22"/>
        </w:rPr>
      </w:pPr>
    </w:p>
    <w:p w:rsidR="00E3466A" w:rsidRPr="00E178E2" w:rsidRDefault="00E3466A" w:rsidP="005526BB">
      <w:pPr>
        <w:jc w:val="both"/>
        <w:rPr>
          <w:sz w:val="22"/>
          <w:szCs w:val="22"/>
        </w:rPr>
      </w:pPr>
      <w:r w:rsidRPr="00E178E2">
        <w:rPr>
          <w:b/>
          <w:bCs/>
          <w:i/>
          <w:iCs/>
          <w:sz w:val="22"/>
          <w:szCs w:val="22"/>
        </w:rPr>
        <w:t>Informaciono-komunikacione tehnologije</w:t>
      </w:r>
      <w:r w:rsidRPr="00E73C57">
        <w:rPr>
          <w:sz w:val="22"/>
          <w:szCs w:val="22"/>
        </w:rPr>
        <w:t xml:space="preserve"> (ICT) u Crnoj Gori su postale neophodne i prisutne u svim drugim prioritetnim oblastima razvoja, kao i svim privrednim i društvenim aspektima života, pri čemu je prepoznata tendencija rasta ovog sektora. ICT se razvija u kontekstu unapređivanja informacionih sistema u javnim upravama, obrazovanju, industriji i zdravstvu, a sve u skladu sa savremenim tehnološkim trendovima i konceptom Industrija 4.0. Posljednjih godina na tržištu Informacionih tehnologija (IT) javlja se sve veći broj malih kompanija koje se bave razvojem softvera i softverskih proizvoda, kao i samozaposlenih softver inženjera, ‚‚freelancera“, menadžera digitalnih projekata, menadžera digitalnog marketinga, dizajnera i ostalih profila, koji nalaze angažovanje na globalnom IT tržištu. Softversko inženjerstvo je već doživjelo značajan razvoj i počelo da se izdvaja kao zasebna privredna grana koja nije limitirana mogućnostima domaćeg tržišta. U Crnoj Gori postoje visokoobrazovne institucije na državnom i na privatnim univerzitetima koje edukuju ICT kadrove u oblasti softverskog inženjerstva.</w:t>
      </w:r>
      <w:r w:rsidRPr="00E73C57">
        <w:rPr>
          <w:rStyle w:val="FootnoteReference"/>
          <w:sz w:val="22"/>
          <w:szCs w:val="22"/>
        </w:rPr>
        <w:footnoteReference w:id="20"/>
      </w:r>
      <w:r>
        <w:rPr>
          <w:sz w:val="22"/>
          <w:szCs w:val="22"/>
        </w:rPr>
        <w:t xml:space="preserve"> U pogledu informaciono-komunikacione tehnologije vizija Crne </w:t>
      </w:r>
      <w:r w:rsidR="00874557">
        <w:rPr>
          <w:sz w:val="22"/>
          <w:szCs w:val="22"/>
        </w:rPr>
        <w:t>G</w:t>
      </w:r>
      <w:r>
        <w:rPr>
          <w:sz w:val="22"/>
          <w:szCs w:val="22"/>
        </w:rPr>
        <w:t xml:space="preserve">ore </w:t>
      </w:r>
      <w:r w:rsidR="00F90434">
        <w:rPr>
          <w:sz w:val="22"/>
          <w:szCs w:val="22"/>
        </w:rPr>
        <w:t xml:space="preserve">određena </w:t>
      </w:r>
      <w:r>
        <w:rPr>
          <w:sz w:val="22"/>
          <w:szCs w:val="22"/>
        </w:rPr>
        <w:t>Strategijom pametne specijalizacije Crne Gore 2019-2024</w:t>
      </w:r>
      <w:r w:rsidR="00F90434">
        <w:rPr>
          <w:sz w:val="22"/>
          <w:szCs w:val="22"/>
        </w:rPr>
        <w:t>.</w:t>
      </w:r>
      <w:r>
        <w:rPr>
          <w:sz w:val="22"/>
          <w:szCs w:val="22"/>
        </w:rPr>
        <w:t xml:space="preserve"> je </w:t>
      </w:r>
      <w:r w:rsidRPr="00E178E2">
        <w:rPr>
          <w:sz w:val="22"/>
          <w:szCs w:val="22"/>
        </w:rPr>
        <w:t>“Digitalna Crna Gora sa primjenom naprednih ICT rješenja u svim granama privrede i razvijenom informatičkom sviješću, koja omogućava dinamičan i proaktivni pristup novim i inovativnim tehnologijama”. Ciljevi sektora su (i) Razvoj e-infrastrukture i preduzetništva</w:t>
      </w:r>
      <w:r w:rsidR="00874557">
        <w:rPr>
          <w:sz w:val="22"/>
          <w:szCs w:val="22"/>
        </w:rPr>
        <w:t xml:space="preserve"> i</w:t>
      </w:r>
      <w:r w:rsidRPr="00E178E2">
        <w:rPr>
          <w:sz w:val="22"/>
          <w:szCs w:val="22"/>
        </w:rPr>
        <w:t xml:space="preserve"> (ii) Promocija digitalne ekonomije.</w:t>
      </w:r>
    </w:p>
    <w:p w:rsidR="00E3466A" w:rsidRDefault="00E3466A" w:rsidP="005526BB">
      <w:pPr>
        <w:jc w:val="both"/>
        <w:rPr>
          <w:sz w:val="22"/>
          <w:szCs w:val="22"/>
        </w:rPr>
      </w:pPr>
    </w:p>
    <w:p w:rsidR="00E3466A" w:rsidRPr="00E178E2" w:rsidRDefault="00E3466A" w:rsidP="005526BB">
      <w:pPr>
        <w:jc w:val="both"/>
        <w:rPr>
          <w:sz w:val="22"/>
          <w:szCs w:val="22"/>
          <w:lang w:val="sl-SI"/>
        </w:rPr>
      </w:pPr>
      <w:r w:rsidRPr="00E178E2">
        <w:rPr>
          <w:sz w:val="22"/>
          <w:szCs w:val="22"/>
        </w:rPr>
        <w:t>Na nedostatak kadrova u IT oblasti ukazuje i istraživanje “Deficitarna ICT zanimanja</w:t>
      </w:r>
      <w:r>
        <w:rPr>
          <w:sz w:val="22"/>
          <w:szCs w:val="22"/>
        </w:rPr>
        <w:t>”</w:t>
      </w:r>
      <w:r w:rsidRPr="00E178E2">
        <w:rPr>
          <w:sz w:val="22"/>
          <w:szCs w:val="22"/>
        </w:rPr>
        <w:t xml:space="preserve"> koje je u 2020. godini sprovela Privredna komora Crne </w:t>
      </w:r>
      <w:r w:rsidR="00604313">
        <w:rPr>
          <w:sz w:val="22"/>
          <w:szCs w:val="22"/>
        </w:rPr>
        <w:t>G</w:t>
      </w:r>
      <w:r w:rsidRPr="00E178E2">
        <w:rPr>
          <w:sz w:val="22"/>
          <w:szCs w:val="22"/>
        </w:rPr>
        <w:t xml:space="preserve">ore u saradnji sa DEV CLUB zajednicom programera. Naime, čak 86,5% poslodavaca </w:t>
      </w:r>
      <w:r w:rsidR="00874557" w:rsidRPr="00E178E2">
        <w:rPr>
          <w:sz w:val="22"/>
          <w:szCs w:val="22"/>
        </w:rPr>
        <w:t>uklju</w:t>
      </w:r>
      <w:r w:rsidR="00874557">
        <w:rPr>
          <w:sz w:val="22"/>
          <w:szCs w:val="22"/>
        </w:rPr>
        <w:t>č</w:t>
      </w:r>
      <w:r w:rsidR="00874557" w:rsidRPr="00E178E2">
        <w:rPr>
          <w:sz w:val="22"/>
          <w:szCs w:val="22"/>
        </w:rPr>
        <w:t xml:space="preserve">enih </w:t>
      </w:r>
      <w:r w:rsidRPr="00E178E2">
        <w:rPr>
          <w:sz w:val="22"/>
          <w:szCs w:val="22"/>
        </w:rPr>
        <w:t>u istraživanje iskazalo je potrebu za upošljavanjem IT kadrova, a poteškoće u nalaženju kvalitetnog IT kadra ima 55,6% kompanija van ICT sektora poslovanja.</w:t>
      </w:r>
    </w:p>
    <w:p w:rsidR="00E3466A" w:rsidRDefault="00E3466A" w:rsidP="005526BB">
      <w:pPr>
        <w:jc w:val="both"/>
        <w:rPr>
          <w:sz w:val="22"/>
          <w:szCs w:val="22"/>
        </w:rPr>
      </w:pPr>
    </w:p>
    <w:p w:rsidR="00E3466A" w:rsidRDefault="00E3466A" w:rsidP="005526BB">
      <w:pPr>
        <w:jc w:val="both"/>
        <w:rPr>
          <w:sz w:val="22"/>
          <w:szCs w:val="22"/>
        </w:rPr>
      </w:pPr>
      <w:r w:rsidRPr="003C7B33">
        <w:rPr>
          <w:sz w:val="22"/>
          <w:szCs w:val="22"/>
        </w:rPr>
        <w:t xml:space="preserve">Dodatno, ova analiza </w:t>
      </w:r>
      <w:r>
        <w:rPr>
          <w:sz w:val="22"/>
          <w:szCs w:val="22"/>
        </w:rPr>
        <w:t xml:space="preserve">Privredne komore Crne Gore </w:t>
      </w:r>
      <w:r w:rsidRPr="003C7B33">
        <w:rPr>
          <w:sz w:val="22"/>
          <w:szCs w:val="22"/>
        </w:rPr>
        <w:t xml:space="preserve">takođe je pokazala koja znanja i vještine su </w:t>
      </w:r>
      <w:r w:rsidR="00874557" w:rsidRPr="003C7B33">
        <w:rPr>
          <w:sz w:val="22"/>
          <w:szCs w:val="22"/>
        </w:rPr>
        <w:t>potrebn</w:t>
      </w:r>
      <w:r w:rsidR="00874557">
        <w:rPr>
          <w:sz w:val="22"/>
          <w:szCs w:val="22"/>
        </w:rPr>
        <w:t>i</w:t>
      </w:r>
      <w:r w:rsidR="00874557" w:rsidRPr="003C7B33">
        <w:rPr>
          <w:sz w:val="22"/>
          <w:szCs w:val="22"/>
        </w:rPr>
        <w:t xml:space="preserve"> </w:t>
      </w:r>
      <w:r w:rsidRPr="003C7B33">
        <w:rPr>
          <w:sz w:val="22"/>
          <w:szCs w:val="22"/>
        </w:rPr>
        <w:t>zaposlenim</w:t>
      </w:r>
      <w:r w:rsidR="00874557">
        <w:rPr>
          <w:sz w:val="22"/>
          <w:szCs w:val="22"/>
        </w:rPr>
        <w:t>a</w:t>
      </w:r>
      <w:r w:rsidRPr="003C7B33">
        <w:rPr>
          <w:sz w:val="22"/>
          <w:szCs w:val="22"/>
        </w:rPr>
        <w:t xml:space="preserve"> u ICT sektoru poslovanja, a mogućnost sticanja tih znanja i vještina potrebno je </w:t>
      </w:r>
      <w:r>
        <w:rPr>
          <w:sz w:val="22"/>
          <w:szCs w:val="22"/>
        </w:rPr>
        <w:t xml:space="preserve">kroz mjere aktivne politike zapošljavanja </w:t>
      </w:r>
      <w:r w:rsidRPr="003C7B33">
        <w:rPr>
          <w:sz w:val="22"/>
          <w:szCs w:val="22"/>
        </w:rPr>
        <w:t xml:space="preserve">omogućiti i nezaposlenim licima, </w:t>
      </w:r>
      <w:r w:rsidR="00F90434" w:rsidRPr="003C7B33">
        <w:rPr>
          <w:sz w:val="22"/>
          <w:szCs w:val="22"/>
        </w:rPr>
        <w:t>koj</w:t>
      </w:r>
      <w:r w:rsidR="00F90434">
        <w:rPr>
          <w:sz w:val="22"/>
          <w:szCs w:val="22"/>
        </w:rPr>
        <w:t xml:space="preserve">a </w:t>
      </w:r>
      <w:r w:rsidRPr="003C7B33">
        <w:rPr>
          <w:sz w:val="22"/>
          <w:szCs w:val="22"/>
        </w:rPr>
        <w:t>traže zaposlenje u tom sektoru u Podgorici.</w:t>
      </w:r>
    </w:p>
    <w:p w:rsidR="00DF79B2" w:rsidRDefault="00DF79B2" w:rsidP="005526BB">
      <w:pPr>
        <w:jc w:val="both"/>
        <w:rPr>
          <w:sz w:val="22"/>
          <w:szCs w:val="22"/>
        </w:rPr>
      </w:pPr>
    </w:p>
    <w:p w:rsidR="00E3466A" w:rsidRDefault="00E3466A" w:rsidP="005526BB">
      <w:pPr>
        <w:jc w:val="both"/>
        <w:rPr>
          <w:sz w:val="22"/>
          <w:szCs w:val="22"/>
        </w:rPr>
      </w:pPr>
      <w:r w:rsidRPr="00BE66EB">
        <w:rPr>
          <w:sz w:val="22"/>
          <w:szCs w:val="22"/>
        </w:rPr>
        <w:t xml:space="preserve">Jedan od prioriteta Strateškog plana razvoja Glavnog </w:t>
      </w:r>
      <w:r>
        <w:rPr>
          <w:sz w:val="22"/>
          <w:szCs w:val="22"/>
        </w:rPr>
        <w:t xml:space="preserve">grada </w:t>
      </w:r>
      <w:r w:rsidRPr="00BE66EB">
        <w:rPr>
          <w:sz w:val="22"/>
          <w:szCs w:val="22"/>
        </w:rPr>
        <w:t>je Razvoj pametnog grada (Smart City), nove tehnologije i rast proizvodnje</w:t>
      </w:r>
      <w:r>
        <w:rPr>
          <w:sz w:val="22"/>
          <w:szCs w:val="22"/>
        </w:rPr>
        <w:t xml:space="preserve">, a to posljedično zahtjeva </w:t>
      </w:r>
      <w:r w:rsidR="00DF79B2">
        <w:rPr>
          <w:sz w:val="22"/>
          <w:szCs w:val="22"/>
        </w:rPr>
        <w:t xml:space="preserve">i </w:t>
      </w:r>
      <w:r>
        <w:rPr>
          <w:sz w:val="22"/>
          <w:szCs w:val="22"/>
        </w:rPr>
        <w:t>povećanje ulaganj</w:t>
      </w:r>
      <w:r w:rsidR="00874557">
        <w:rPr>
          <w:sz w:val="22"/>
          <w:szCs w:val="22"/>
        </w:rPr>
        <w:t>a</w:t>
      </w:r>
      <w:r>
        <w:rPr>
          <w:sz w:val="22"/>
          <w:szCs w:val="22"/>
        </w:rPr>
        <w:t xml:space="preserve"> u ICT kompetencije prvenstveno kod radne snage a</w:t>
      </w:r>
      <w:r w:rsidR="00DF79B2">
        <w:rPr>
          <w:sz w:val="22"/>
          <w:szCs w:val="22"/>
        </w:rPr>
        <w:t>li</w:t>
      </w:r>
      <w:r>
        <w:rPr>
          <w:sz w:val="22"/>
          <w:szCs w:val="22"/>
        </w:rPr>
        <w:t xml:space="preserve"> i ukupnog stanovništva grada. </w:t>
      </w:r>
      <w:bookmarkStart w:id="69" w:name="_Toc60052375"/>
    </w:p>
    <w:p w:rsidR="00E3466A" w:rsidRDefault="00E3466A" w:rsidP="005526BB">
      <w:pPr>
        <w:jc w:val="both"/>
        <w:rPr>
          <w:sz w:val="22"/>
          <w:szCs w:val="22"/>
        </w:rPr>
      </w:pPr>
    </w:p>
    <w:p w:rsidR="00E3466A" w:rsidRPr="00BE66EB" w:rsidRDefault="00E3466A" w:rsidP="005526BB">
      <w:pPr>
        <w:pStyle w:val="Heading2"/>
        <w:spacing w:before="0"/>
      </w:pPr>
      <w:bookmarkStart w:id="70" w:name="_Toc60565208"/>
      <w:bookmarkStart w:id="71" w:name="_Toc61289785"/>
      <w:bookmarkStart w:id="72" w:name="_Toc63099500"/>
      <w:r w:rsidRPr="00BE66EB">
        <w:t>3.6 Ponuda obrazovanja i osposobljavanja odraslih u opštini</w:t>
      </w:r>
      <w:bookmarkEnd w:id="69"/>
      <w:bookmarkEnd w:id="70"/>
      <w:bookmarkEnd w:id="71"/>
      <w:bookmarkEnd w:id="72"/>
    </w:p>
    <w:p w:rsidR="00E3466A" w:rsidRPr="00BE66EB" w:rsidRDefault="00E3466A" w:rsidP="005526BB"/>
    <w:p w:rsidR="00E3466A" w:rsidRPr="00BE66EB" w:rsidRDefault="00E3466A" w:rsidP="00F90434">
      <w:pPr>
        <w:jc w:val="both"/>
        <w:rPr>
          <w:sz w:val="22"/>
          <w:szCs w:val="22"/>
        </w:rPr>
      </w:pPr>
      <w:r w:rsidRPr="00BE66EB">
        <w:rPr>
          <w:sz w:val="22"/>
          <w:szCs w:val="22"/>
        </w:rPr>
        <w:t xml:space="preserve">Učenje i obrazovanje odraslih predstavljaju značajnu komponentu procesa cjeloživotnog učenja koje objedinjuje različite oblike i programe formalnog obrazovanja, neformalnog, informalnog i samousmjerenog učenja (Strategija obrazovanja odraslih Crne Gore 2015-2025). </w:t>
      </w:r>
    </w:p>
    <w:p w:rsidR="00E3466A" w:rsidRPr="00BE66EB" w:rsidRDefault="00E3466A" w:rsidP="005526BB">
      <w:pPr>
        <w:rPr>
          <w:sz w:val="22"/>
          <w:szCs w:val="22"/>
        </w:rPr>
      </w:pPr>
    </w:p>
    <w:p w:rsidR="00E3466A" w:rsidRPr="00BE66EB" w:rsidRDefault="00E3466A" w:rsidP="005526BB">
      <w:pPr>
        <w:rPr>
          <w:sz w:val="22"/>
          <w:szCs w:val="22"/>
        </w:rPr>
      </w:pPr>
      <w:r w:rsidRPr="00BE66EB">
        <w:rPr>
          <w:sz w:val="22"/>
          <w:szCs w:val="22"/>
        </w:rPr>
        <w:t xml:space="preserve">Strategija obrazovanja odraslih definiše sljedeće prioritetne ciljeve:   </w:t>
      </w:r>
    </w:p>
    <w:p w:rsidR="00E3466A" w:rsidRPr="00BE66EB" w:rsidRDefault="00E3466A" w:rsidP="005526BB">
      <w:pPr>
        <w:numPr>
          <w:ilvl w:val="0"/>
          <w:numId w:val="1"/>
        </w:numPr>
        <w:jc w:val="both"/>
        <w:rPr>
          <w:rFonts w:cs="Arial"/>
          <w:color w:val="000000" w:themeColor="text1"/>
          <w:sz w:val="22"/>
          <w:szCs w:val="22"/>
          <w:lang w:val="sl-SI"/>
        </w:rPr>
      </w:pPr>
      <w:r w:rsidRPr="00BE66EB">
        <w:rPr>
          <w:rFonts w:cs="Arial"/>
          <w:color w:val="000000" w:themeColor="text1"/>
          <w:sz w:val="22"/>
          <w:szCs w:val="22"/>
          <w:lang w:val="sl-SI"/>
        </w:rPr>
        <w:lastRenderedPageBreak/>
        <w:t>Povećati socijalnu uključenost odraslih građana kroz aktivnosti cjeloživotnog učenja i obrazovanja;</w:t>
      </w:r>
    </w:p>
    <w:p w:rsidR="00E3466A" w:rsidRPr="00BE66EB" w:rsidRDefault="00E3466A" w:rsidP="005526BB">
      <w:pPr>
        <w:numPr>
          <w:ilvl w:val="0"/>
          <w:numId w:val="2"/>
        </w:numPr>
        <w:jc w:val="both"/>
        <w:rPr>
          <w:rFonts w:cs="Arial"/>
          <w:color w:val="000000" w:themeColor="text1"/>
          <w:sz w:val="22"/>
          <w:szCs w:val="22"/>
          <w:lang w:val="sl-SI"/>
        </w:rPr>
      </w:pPr>
      <w:r w:rsidRPr="00BE66EB">
        <w:rPr>
          <w:rFonts w:cs="Arial"/>
          <w:color w:val="000000" w:themeColor="text1"/>
          <w:sz w:val="22"/>
          <w:szCs w:val="22"/>
          <w:lang w:val="sl-SI"/>
        </w:rPr>
        <w:t>Unapređivati  znanja, vještine i kompetencije odraslih za zapošljivost,  mobilnost na tržištu rada i konkurentnost;</w:t>
      </w:r>
    </w:p>
    <w:p w:rsidR="00E3466A" w:rsidRPr="00BE66EB" w:rsidRDefault="00E3466A" w:rsidP="005526BB">
      <w:pPr>
        <w:numPr>
          <w:ilvl w:val="0"/>
          <w:numId w:val="2"/>
        </w:numPr>
        <w:jc w:val="both"/>
        <w:rPr>
          <w:rFonts w:cs="Arial"/>
          <w:color w:val="000000" w:themeColor="text1"/>
          <w:sz w:val="22"/>
          <w:szCs w:val="22"/>
          <w:lang w:val="sl-SI"/>
        </w:rPr>
      </w:pPr>
      <w:r w:rsidRPr="00BE66EB">
        <w:rPr>
          <w:rFonts w:cs="Arial"/>
          <w:color w:val="000000" w:themeColor="text1"/>
          <w:sz w:val="22"/>
          <w:szCs w:val="22"/>
          <w:lang w:val="sl-SI"/>
        </w:rPr>
        <w:t>Povećati kompetencije zaposlenih u cilju postizanja bržeg privrednog rasta;</w:t>
      </w:r>
    </w:p>
    <w:p w:rsidR="00E3466A" w:rsidRPr="00BE66EB" w:rsidRDefault="00E3466A" w:rsidP="005526BB">
      <w:pPr>
        <w:numPr>
          <w:ilvl w:val="0"/>
          <w:numId w:val="2"/>
        </w:numPr>
        <w:jc w:val="both"/>
        <w:rPr>
          <w:rFonts w:cs="Arial"/>
          <w:color w:val="000000" w:themeColor="text1"/>
          <w:sz w:val="22"/>
          <w:szCs w:val="22"/>
          <w:lang w:val="sl-SI"/>
        </w:rPr>
      </w:pPr>
      <w:r w:rsidRPr="00BE66EB">
        <w:rPr>
          <w:rFonts w:cs="Arial"/>
          <w:color w:val="000000" w:themeColor="text1"/>
          <w:sz w:val="22"/>
          <w:szCs w:val="22"/>
          <w:lang w:val="sl-SI"/>
        </w:rPr>
        <w:t>Uspostaviti sistem osiguranja kvaliteta u obrazovanju odraslih;</w:t>
      </w:r>
    </w:p>
    <w:p w:rsidR="00E3466A" w:rsidRPr="00BE66EB" w:rsidRDefault="00E3466A" w:rsidP="005526BB">
      <w:pPr>
        <w:pStyle w:val="ListParagraph"/>
        <w:numPr>
          <w:ilvl w:val="0"/>
          <w:numId w:val="2"/>
        </w:numPr>
        <w:jc w:val="both"/>
        <w:rPr>
          <w:rFonts w:cs="Arial"/>
          <w:color w:val="000000" w:themeColor="text1"/>
          <w:sz w:val="22"/>
          <w:szCs w:val="22"/>
        </w:rPr>
      </w:pPr>
      <w:r w:rsidRPr="00BE66EB">
        <w:rPr>
          <w:rFonts w:cs="Arial"/>
          <w:color w:val="000000" w:themeColor="text1"/>
          <w:sz w:val="22"/>
          <w:szCs w:val="22"/>
          <w:lang w:val="sl-SI"/>
        </w:rPr>
        <w:t>Obezbijediti fleksibilan i održiv sistem obrazovanja odraslih.</w:t>
      </w:r>
    </w:p>
    <w:p w:rsidR="00E3466A" w:rsidRPr="00BE66EB" w:rsidRDefault="00E3466A" w:rsidP="005526BB">
      <w:pPr>
        <w:jc w:val="both"/>
        <w:rPr>
          <w:rFonts w:cs="Arial"/>
          <w:sz w:val="22"/>
          <w:szCs w:val="22"/>
          <w:lang w:val="pl-PL"/>
        </w:rPr>
      </w:pPr>
    </w:p>
    <w:p w:rsidR="00E3466A" w:rsidRPr="00433637" w:rsidRDefault="00E3466A" w:rsidP="005526BB">
      <w:pPr>
        <w:shd w:val="clear" w:color="auto" w:fill="FFFFFF"/>
        <w:jc w:val="both"/>
        <w:rPr>
          <w:rFonts w:eastAsia="Times New Roman"/>
          <w:lang w:val="bs-Latn-BA"/>
        </w:rPr>
      </w:pPr>
      <w:r w:rsidRPr="00BE66EB">
        <w:rPr>
          <w:rFonts w:cs="Arial"/>
          <w:sz w:val="22"/>
          <w:szCs w:val="22"/>
          <w:lang w:val="pl-PL"/>
        </w:rPr>
        <w:t xml:space="preserve">U posljednjim godinama u Crnoj Gori je vidljiv napredak u ovoj oblasti kako u pogledu usvajanja novih programa obrazovanja za sticanje stručne kvalifikacije tako i za </w:t>
      </w:r>
      <w:r w:rsidRPr="00BE66EB">
        <w:rPr>
          <w:rFonts w:cs="Arial"/>
          <w:sz w:val="22"/>
          <w:szCs w:val="22"/>
        </w:rPr>
        <w:t>sticanje i unapređenje ključnih kompetencija. Takođe, značajno se povećao broj licenciranih organizatora obrazovanja u Crnoj Gori, naročito u Podgorici.</w:t>
      </w:r>
    </w:p>
    <w:p w:rsidR="00E3466A" w:rsidRDefault="00E3466A" w:rsidP="005526BB">
      <w:pPr>
        <w:jc w:val="both"/>
        <w:rPr>
          <w:rFonts w:cs="Arial"/>
          <w:b/>
          <w:color w:val="000000" w:themeColor="text1"/>
          <w:szCs w:val="20"/>
          <w:highlight w:val="yellow"/>
        </w:rPr>
      </w:pPr>
    </w:p>
    <w:p w:rsidR="00E3466A" w:rsidRPr="00BE66EB" w:rsidRDefault="00E3466A" w:rsidP="00F67634">
      <w:pPr>
        <w:rPr>
          <w:sz w:val="22"/>
          <w:szCs w:val="22"/>
        </w:rPr>
      </w:pPr>
      <w:r w:rsidRPr="00BE66EB">
        <w:rPr>
          <w:sz w:val="22"/>
          <w:szCs w:val="22"/>
        </w:rPr>
        <w:t>LICENCIRANI ORGANIZATORI OBRAZOVANJA ODRASLIH U PODGORICI</w:t>
      </w:r>
      <w:r w:rsidRPr="00BE66EB">
        <w:rPr>
          <w:rStyle w:val="FootnoteReference"/>
          <w:sz w:val="22"/>
          <w:szCs w:val="22"/>
        </w:rPr>
        <w:footnoteReference w:id="21"/>
      </w:r>
      <w:r w:rsidRPr="00BE66EB">
        <w:rPr>
          <w:sz w:val="22"/>
          <w:szCs w:val="22"/>
        </w:rPr>
        <w:t xml:space="preserve"> </w:t>
      </w:r>
    </w:p>
    <w:p w:rsidR="00E3466A" w:rsidRDefault="00E3466A" w:rsidP="005526BB">
      <w:pPr>
        <w:jc w:val="both"/>
      </w:pPr>
    </w:p>
    <w:p w:rsidR="00E3466A" w:rsidRDefault="00E3466A" w:rsidP="005526BB">
      <w:pPr>
        <w:jc w:val="both"/>
        <w:rPr>
          <w:sz w:val="22"/>
          <w:szCs w:val="22"/>
        </w:rPr>
      </w:pPr>
      <w:r w:rsidRPr="00CB01DF">
        <w:rPr>
          <w:sz w:val="22"/>
          <w:szCs w:val="22"/>
        </w:rPr>
        <w:t xml:space="preserve">Prema podacima Ministarstva prosvjete u Podgorici ima </w:t>
      </w:r>
      <w:r w:rsidRPr="00CB01DF">
        <w:rPr>
          <w:b/>
          <w:sz w:val="22"/>
          <w:szCs w:val="22"/>
        </w:rPr>
        <w:t>49 licenciranih organizatora</w:t>
      </w:r>
      <w:r w:rsidRPr="00CB01DF">
        <w:rPr>
          <w:sz w:val="22"/>
          <w:szCs w:val="22"/>
        </w:rPr>
        <w:t xml:space="preserve"> obrazovanja odraslih koji sprovode </w:t>
      </w:r>
      <w:r w:rsidRPr="00CB01DF">
        <w:rPr>
          <w:b/>
          <w:sz w:val="22"/>
          <w:szCs w:val="22"/>
        </w:rPr>
        <w:t>230 programa obuka</w:t>
      </w:r>
      <w:r w:rsidRPr="00CB01DF">
        <w:rPr>
          <w:sz w:val="22"/>
          <w:szCs w:val="22"/>
        </w:rPr>
        <w:t xml:space="preserve">. </w:t>
      </w:r>
    </w:p>
    <w:p w:rsidR="00E3466A" w:rsidRDefault="00E3466A" w:rsidP="005526BB">
      <w:pPr>
        <w:jc w:val="both"/>
        <w:rPr>
          <w:sz w:val="22"/>
          <w:szCs w:val="22"/>
        </w:rPr>
      </w:pPr>
    </w:p>
    <w:p w:rsidR="00E3466A" w:rsidRDefault="00E3466A" w:rsidP="005526BB">
      <w:pPr>
        <w:jc w:val="both"/>
        <w:rPr>
          <w:sz w:val="22"/>
          <w:szCs w:val="22"/>
        </w:rPr>
      </w:pPr>
      <w:r w:rsidRPr="002766B5">
        <w:rPr>
          <w:sz w:val="22"/>
          <w:szCs w:val="22"/>
        </w:rPr>
        <w:t>Pored akreditovanih programa obrazovanja odraslih</w:t>
      </w:r>
      <w:r>
        <w:rPr>
          <w:sz w:val="22"/>
          <w:szCs w:val="22"/>
        </w:rPr>
        <w:t>, koje sprovode</w:t>
      </w:r>
      <w:r w:rsidRPr="00CB01DF">
        <w:rPr>
          <w:sz w:val="22"/>
          <w:szCs w:val="22"/>
        </w:rPr>
        <w:t xml:space="preserve"> licencirani organizator</w:t>
      </w:r>
      <w:r>
        <w:rPr>
          <w:sz w:val="22"/>
          <w:szCs w:val="22"/>
        </w:rPr>
        <w:t>i obrazovanja</w:t>
      </w:r>
      <w:r w:rsidRPr="00CB01DF">
        <w:rPr>
          <w:sz w:val="22"/>
          <w:szCs w:val="22"/>
        </w:rPr>
        <w:t xml:space="preserve">, na teritoriji </w:t>
      </w:r>
      <w:r>
        <w:rPr>
          <w:sz w:val="22"/>
          <w:szCs w:val="22"/>
        </w:rPr>
        <w:t>Glavnog grada</w:t>
      </w:r>
      <w:r w:rsidRPr="00CB01DF">
        <w:rPr>
          <w:sz w:val="22"/>
          <w:szCs w:val="22"/>
        </w:rPr>
        <w:t xml:space="preserve"> </w:t>
      </w:r>
      <w:r>
        <w:rPr>
          <w:sz w:val="22"/>
          <w:szCs w:val="22"/>
        </w:rPr>
        <w:t xml:space="preserve">Podgorica </w:t>
      </w:r>
      <w:r w:rsidRPr="00CB01DF">
        <w:rPr>
          <w:sz w:val="22"/>
          <w:szCs w:val="22"/>
        </w:rPr>
        <w:t>se odvija značajan broj neformalnih obuka koje organizuju poslodavci, nevladine organizacije i drugi akteri.</w:t>
      </w:r>
      <w:r>
        <w:rPr>
          <w:sz w:val="22"/>
          <w:szCs w:val="22"/>
        </w:rPr>
        <w:t xml:space="preserve"> </w:t>
      </w:r>
      <w:r w:rsidRPr="002766B5">
        <w:rPr>
          <w:sz w:val="22"/>
          <w:szCs w:val="22"/>
        </w:rPr>
        <w:t xml:space="preserve">Podaci o tim programima i </w:t>
      </w:r>
      <w:r>
        <w:rPr>
          <w:sz w:val="22"/>
          <w:szCs w:val="22"/>
        </w:rPr>
        <w:t xml:space="preserve">ukupnom broju </w:t>
      </w:r>
      <w:r w:rsidRPr="002766B5">
        <w:rPr>
          <w:sz w:val="22"/>
          <w:szCs w:val="22"/>
        </w:rPr>
        <w:t xml:space="preserve">uključenih odraslih </w:t>
      </w:r>
      <w:r>
        <w:rPr>
          <w:sz w:val="22"/>
          <w:szCs w:val="22"/>
        </w:rPr>
        <w:t xml:space="preserve">u Podgorici za sada </w:t>
      </w:r>
      <w:r w:rsidRPr="002766B5">
        <w:rPr>
          <w:sz w:val="22"/>
          <w:szCs w:val="22"/>
        </w:rPr>
        <w:t xml:space="preserve">nijesu na raspolaganju. </w:t>
      </w:r>
    </w:p>
    <w:p w:rsidR="00591D9F" w:rsidRDefault="00591D9F" w:rsidP="005526BB">
      <w:pPr>
        <w:jc w:val="both"/>
        <w:rPr>
          <w:rFonts w:cs="Arial"/>
          <w:bCs/>
          <w:color w:val="000000" w:themeColor="text1"/>
          <w:sz w:val="22"/>
          <w:szCs w:val="22"/>
        </w:rPr>
      </w:pPr>
    </w:p>
    <w:p w:rsidR="00E3466A" w:rsidRPr="00DA154A" w:rsidRDefault="00E3466A" w:rsidP="005526BB">
      <w:pPr>
        <w:jc w:val="both"/>
        <w:rPr>
          <w:rFonts w:cs="Arial"/>
          <w:bCs/>
          <w:color w:val="000000" w:themeColor="text1"/>
          <w:sz w:val="22"/>
          <w:szCs w:val="22"/>
        </w:rPr>
      </w:pPr>
      <w:r w:rsidRPr="00DA154A">
        <w:rPr>
          <w:rFonts w:cs="Arial"/>
          <w:bCs/>
          <w:color w:val="000000" w:themeColor="text1"/>
          <w:sz w:val="22"/>
          <w:szCs w:val="22"/>
        </w:rPr>
        <w:t>CENTAR KOMPETENCIJA PODGORICA</w:t>
      </w:r>
    </w:p>
    <w:p w:rsidR="00E3466A" w:rsidRDefault="00E3466A" w:rsidP="005526BB">
      <w:pPr>
        <w:jc w:val="both"/>
        <w:rPr>
          <w:rFonts w:cs="Arial"/>
          <w:b/>
          <w:color w:val="000000" w:themeColor="text1"/>
          <w:szCs w:val="20"/>
          <w:highlight w:val="yellow"/>
        </w:rPr>
      </w:pPr>
    </w:p>
    <w:p w:rsidR="00E3466A" w:rsidRDefault="00E3466A" w:rsidP="003462C3">
      <w:pPr>
        <w:jc w:val="both"/>
        <w:rPr>
          <w:sz w:val="22"/>
          <w:szCs w:val="22"/>
        </w:rPr>
      </w:pPr>
      <w:r w:rsidRPr="00431885">
        <w:rPr>
          <w:sz w:val="22"/>
          <w:szCs w:val="22"/>
        </w:rPr>
        <w:t xml:space="preserve">Centar kompetencija Podgorica uspostavljen </w:t>
      </w:r>
      <w:r w:rsidR="00874557">
        <w:rPr>
          <w:sz w:val="22"/>
          <w:szCs w:val="22"/>
        </w:rPr>
        <w:t xml:space="preserve">je </w:t>
      </w:r>
      <w:r w:rsidRPr="00431885">
        <w:rPr>
          <w:sz w:val="22"/>
          <w:szCs w:val="22"/>
        </w:rPr>
        <w:t>u okviru programa INTERREG IPA CBC Hrvatska – Bosna i Hercegovina – Crna Gora 2014-2020</w:t>
      </w:r>
      <w:r w:rsidR="00F90434">
        <w:rPr>
          <w:sz w:val="22"/>
          <w:szCs w:val="22"/>
        </w:rPr>
        <w:t>.</w:t>
      </w:r>
      <w:r w:rsidRPr="00431885">
        <w:rPr>
          <w:sz w:val="22"/>
          <w:szCs w:val="22"/>
        </w:rPr>
        <w:t xml:space="preserve"> u </w:t>
      </w:r>
      <w:r>
        <w:rPr>
          <w:sz w:val="22"/>
          <w:szCs w:val="22"/>
        </w:rPr>
        <w:t xml:space="preserve">decembru </w:t>
      </w:r>
      <w:r w:rsidRPr="00431885">
        <w:rPr>
          <w:sz w:val="22"/>
          <w:szCs w:val="22"/>
        </w:rPr>
        <w:t>2018. godin</w:t>
      </w:r>
      <w:r>
        <w:rPr>
          <w:sz w:val="22"/>
          <w:szCs w:val="22"/>
        </w:rPr>
        <w:t>e</w:t>
      </w:r>
      <w:r w:rsidRPr="00431885">
        <w:rPr>
          <w:sz w:val="22"/>
          <w:szCs w:val="22"/>
        </w:rPr>
        <w:t xml:space="preserve"> sa ciljem </w:t>
      </w:r>
      <w:r>
        <w:rPr>
          <w:sz w:val="22"/>
          <w:szCs w:val="22"/>
        </w:rPr>
        <w:t xml:space="preserve">obezbjeđivanja uslova </w:t>
      </w:r>
      <w:r w:rsidRPr="00431885">
        <w:rPr>
          <w:sz w:val="22"/>
          <w:szCs w:val="22"/>
        </w:rPr>
        <w:t>za obuke, treninge, organizaciju seminara, a sve u cilju ublažavanja posljedica nedovoljne zapo</w:t>
      </w:r>
      <w:r w:rsidR="00874557">
        <w:rPr>
          <w:sz w:val="22"/>
          <w:szCs w:val="22"/>
        </w:rPr>
        <w:t>s</w:t>
      </w:r>
      <w:r w:rsidRPr="00431885">
        <w:rPr>
          <w:sz w:val="22"/>
          <w:szCs w:val="22"/>
        </w:rPr>
        <w:t>lenosti u glavnom gradu – prije svega mladih</w:t>
      </w:r>
      <w:r>
        <w:rPr>
          <w:sz w:val="22"/>
          <w:szCs w:val="22"/>
        </w:rPr>
        <w:t xml:space="preserve"> </w:t>
      </w:r>
      <w:r w:rsidRPr="00431885">
        <w:rPr>
          <w:sz w:val="22"/>
          <w:szCs w:val="22"/>
        </w:rPr>
        <w:t>i žena</w:t>
      </w:r>
      <w:r>
        <w:rPr>
          <w:sz w:val="22"/>
          <w:szCs w:val="22"/>
        </w:rPr>
        <w:t>.</w:t>
      </w:r>
    </w:p>
    <w:p w:rsidR="00E3466A" w:rsidRDefault="00E3466A" w:rsidP="005526BB">
      <w:pPr>
        <w:rPr>
          <w:sz w:val="22"/>
          <w:szCs w:val="22"/>
        </w:rPr>
      </w:pPr>
    </w:p>
    <w:p w:rsidR="00E3466A" w:rsidRDefault="00E3466A" w:rsidP="003462C3">
      <w:pPr>
        <w:jc w:val="both"/>
        <w:rPr>
          <w:sz w:val="22"/>
          <w:szCs w:val="22"/>
        </w:rPr>
      </w:pPr>
      <w:r>
        <w:rPr>
          <w:sz w:val="22"/>
          <w:szCs w:val="22"/>
        </w:rPr>
        <w:t>Centar</w:t>
      </w:r>
      <w:r w:rsidRPr="00431885">
        <w:rPr>
          <w:sz w:val="22"/>
          <w:szCs w:val="22"/>
        </w:rPr>
        <w:t xml:space="preserve"> pruža podršku razvoju mikro, malih i srednjih preduzeća (MMSP), kroz aktivnosti koje uključuju organizaciju obuka i mentorskih programa za MMSP i nezaposlene mlade osobe u oblasti razvoja poslovnih kompetencija, te uvođenja novih tehnologija i inovativnih rješenja u poslovanje (putem pametnih programa saradnje). Na taj način, Centar pom</w:t>
      </w:r>
      <w:r>
        <w:rPr>
          <w:sz w:val="22"/>
          <w:szCs w:val="22"/>
        </w:rPr>
        <w:t>aže</w:t>
      </w:r>
      <w:r w:rsidRPr="00431885">
        <w:rPr>
          <w:sz w:val="22"/>
          <w:szCs w:val="22"/>
        </w:rPr>
        <w:t xml:space="preserve"> jačanju preduzetništva i malog i srednjeg biznisa, a kod mladih osoba </w:t>
      </w:r>
      <w:r w:rsidR="00874557" w:rsidRPr="00431885">
        <w:rPr>
          <w:sz w:val="22"/>
          <w:szCs w:val="22"/>
        </w:rPr>
        <w:t>podst</w:t>
      </w:r>
      <w:r w:rsidR="00874557">
        <w:rPr>
          <w:sz w:val="22"/>
          <w:szCs w:val="22"/>
        </w:rPr>
        <w:t xml:space="preserve">iče </w:t>
      </w:r>
      <w:r w:rsidRPr="00431885">
        <w:rPr>
          <w:sz w:val="22"/>
          <w:szCs w:val="22"/>
        </w:rPr>
        <w:t>kreativan prisup razvoju poslovnih ideja.</w:t>
      </w:r>
      <w:r>
        <w:rPr>
          <w:rStyle w:val="FootnoteReference"/>
          <w:sz w:val="22"/>
          <w:szCs w:val="22"/>
        </w:rPr>
        <w:footnoteReference w:id="22"/>
      </w:r>
    </w:p>
    <w:p w:rsidR="00E3466A" w:rsidRDefault="00E3466A" w:rsidP="005526BB">
      <w:pPr>
        <w:rPr>
          <w:sz w:val="22"/>
          <w:szCs w:val="22"/>
        </w:rPr>
      </w:pPr>
    </w:p>
    <w:p w:rsidR="00E3466A" w:rsidRPr="004E5213" w:rsidRDefault="00E3466A" w:rsidP="005526BB">
      <w:pPr>
        <w:pStyle w:val="Heading2"/>
        <w:spacing w:before="0"/>
        <w:rPr>
          <w:rFonts w:cs="Arial"/>
        </w:rPr>
      </w:pPr>
      <w:bookmarkStart w:id="73" w:name="_Toc60052376"/>
      <w:bookmarkStart w:id="74" w:name="_Toc60565209"/>
      <w:bookmarkStart w:id="75" w:name="_Toc61289786"/>
      <w:bookmarkStart w:id="76" w:name="_Toc63099501"/>
      <w:r w:rsidRPr="004E5213">
        <w:rPr>
          <w:rFonts w:cs="Arial"/>
        </w:rPr>
        <w:t xml:space="preserve">3.7 Socijalna inkluzija </w:t>
      </w:r>
      <w:r>
        <w:rPr>
          <w:rFonts w:cs="Arial"/>
        </w:rPr>
        <w:t>i socijalna isključenost</w:t>
      </w:r>
      <w:bookmarkEnd w:id="73"/>
      <w:bookmarkEnd w:id="74"/>
      <w:bookmarkEnd w:id="75"/>
      <w:bookmarkEnd w:id="76"/>
    </w:p>
    <w:p w:rsidR="00E3466A" w:rsidRDefault="00E3466A" w:rsidP="005526BB">
      <w:pPr>
        <w:jc w:val="both"/>
        <w:rPr>
          <w:rFonts w:cs="Arial"/>
          <w:sz w:val="22"/>
          <w:szCs w:val="22"/>
          <w:highlight w:val="yellow"/>
        </w:rPr>
      </w:pPr>
    </w:p>
    <w:p w:rsidR="00E3466A" w:rsidRPr="00640DBF" w:rsidRDefault="00E3466A" w:rsidP="005526BB">
      <w:pPr>
        <w:tabs>
          <w:tab w:val="num" w:pos="1440"/>
        </w:tabs>
        <w:jc w:val="both"/>
        <w:rPr>
          <w:rFonts w:cs="Arial"/>
          <w:sz w:val="22"/>
          <w:szCs w:val="22"/>
          <w:lang w:val="sl-SI"/>
        </w:rPr>
      </w:pPr>
      <w:r>
        <w:rPr>
          <w:rFonts w:cs="Arial"/>
          <w:sz w:val="22"/>
          <w:szCs w:val="22"/>
          <w:lang w:val="sl-SI"/>
        </w:rPr>
        <w:t>Pojam socijalne inkluzije ili socijalne isključenosti razmatra se kroz p</w:t>
      </w:r>
      <w:r w:rsidRPr="00640DBF">
        <w:rPr>
          <w:rFonts w:cs="Arial"/>
          <w:sz w:val="22"/>
          <w:szCs w:val="22"/>
          <w:lang w:val="sl-SI"/>
        </w:rPr>
        <w:t>roces interakcije između pojedinca i njegovog/njezinog društvenog, pravnog i ekonomskog okruženja tokom kojeg se identifikuju konkretne prepreke za učešće i uključivanje, kao što su</w:t>
      </w:r>
      <w:r>
        <w:rPr>
          <w:rFonts w:cs="Arial"/>
          <w:sz w:val="22"/>
          <w:szCs w:val="22"/>
          <w:lang w:val="sl-SI"/>
        </w:rPr>
        <w:t xml:space="preserve"> </w:t>
      </w:r>
      <w:r w:rsidRPr="00640DBF">
        <w:rPr>
          <w:rFonts w:cs="Arial"/>
          <w:sz w:val="22"/>
          <w:szCs w:val="22"/>
          <w:lang w:val="sl-SI"/>
        </w:rPr>
        <w:t>institucionalne prepreke (diskriminacija, nedostatak infrastrukture, nepostojanje/ ograničenost usluga)</w:t>
      </w:r>
      <w:r>
        <w:rPr>
          <w:rFonts w:cs="Arial"/>
          <w:sz w:val="22"/>
          <w:szCs w:val="22"/>
          <w:lang w:val="sl-SI"/>
        </w:rPr>
        <w:t xml:space="preserve">, </w:t>
      </w:r>
      <w:r w:rsidRPr="00640DBF">
        <w:rPr>
          <w:rFonts w:cs="Arial"/>
          <w:sz w:val="22"/>
          <w:szCs w:val="22"/>
          <w:lang w:val="pl-PL"/>
        </w:rPr>
        <w:t>prepreke na nivou zajednice (marginalizacija)</w:t>
      </w:r>
      <w:r>
        <w:rPr>
          <w:rFonts w:cs="Arial"/>
          <w:sz w:val="22"/>
          <w:szCs w:val="22"/>
          <w:lang w:val="pl-PL"/>
        </w:rPr>
        <w:t xml:space="preserve"> i </w:t>
      </w:r>
      <w:r w:rsidRPr="00640DBF">
        <w:rPr>
          <w:rFonts w:cs="Arial"/>
          <w:sz w:val="22"/>
          <w:szCs w:val="22"/>
          <w:lang w:val="nn-NO"/>
        </w:rPr>
        <w:t>lične prepreke (nedostatak obrazovanja, obuke i vještina).</w:t>
      </w:r>
      <w:r w:rsidRPr="00640DBF">
        <w:rPr>
          <w:rFonts w:cs="Arial"/>
          <w:sz w:val="22"/>
          <w:szCs w:val="22"/>
          <w:lang w:val="sl-SI"/>
        </w:rPr>
        <w:t xml:space="preserve"> </w:t>
      </w:r>
    </w:p>
    <w:p w:rsidR="00E3466A" w:rsidRPr="00A13EDD" w:rsidRDefault="00E3466A" w:rsidP="005526BB">
      <w:pPr>
        <w:jc w:val="both"/>
        <w:rPr>
          <w:rFonts w:cs="Arial"/>
          <w:sz w:val="22"/>
          <w:szCs w:val="22"/>
        </w:rPr>
      </w:pPr>
    </w:p>
    <w:p w:rsidR="00E3466A" w:rsidRPr="00BE66EB" w:rsidRDefault="00E3466A" w:rsidP="005526BB">
      <w:pPr>
        <w:jc w:val="both"/>
        <w:rPr>
          <w:sz w:val="22"/>
          <w:szCs w:val="22"/>
        </w:rPr>
      </w:pPr>
      <w:r w:rsidRPr="00BE66EB">
        <w:rPr>
          <w:sz w:val="22"/>
          <w:szCs w:val="22"/>
        </w:rPr>
        <w:t>Socijalna isključenost često je povezana sa siromaštvom. Siromaštvo je takođe višedimenzionalan fenomen koji se najčešće vezuje za nedostatak finansijskih sredstava ("monetarno siromaštvo") kako bi se zadovoljio određeni nivo osnovnih životnih potreba ("linija siromaštva").</w:t>
      </w:r>
      <w:r w:rsidRPr="00BE66EB">
        <w:rPr>
          <w:rStyle w:val="FootnoteReference"/>
          <w:sz w:val="22"/>
          <w:szCs w:val="22"/>
        </w:rPr>
        <w:footnoteReference w:id="23"/>
      </w:r>
      <w:r w:rsidRPr="00BE66EB">
        <w:rPr>
          <w:sz w:val="22"/>
          <w:szCs w:val="22"/>
        </w:rPr>
        <w:t xml:space="preserve"> Prema Anketi o dohotku i uslovima života za 2019 (MONSTAT), čak 45,5% nezaposlenih lica u Crnoj Gori izloženo je riziku od siromaštva.</w:t>
      </w:r>
    </w:p>
    <w:p w:rsidR="00E3466A" w:rsidRPr="00BE66EB" w:rsidRDefault="00E3466A" w:rsidP="005526BB">
      <w:pPr>
        <w:tabs>
          <w:tab w:val="left" w:pos="2676"/>
        </w:tabs>
        <w:jc w:val="both"/>
        <w:rPr>
          <w:b/>
          <w:bCs/>
          <w:sz w:val="22"/>
          <w:szCs w:val="22"/>
          <w:highlight w:val="yellow"/>
        </w:rPr>
      </w:pPr>
    </w:p>
    <w:p w:rsidR="00E3466A" w:rsidRPr="00BE66EB" w:rsidRDefault="00E3466A" w:rsidP="005526BB">
      <w:pPr>
        <w:jc w:val="both"/>
        <w:rPr>
          <w:sz w:val="22"/>
          <w:szCs w:val="22"/>
        </w:rPr>
      </w:pPr>
      <w:r>
        <w:rPr>
          <w:sz w:val="22"/>
          <w:szCs w:val="22"/>
        </w:rPr>
        <w:lastRenderedPageBreak/>
        <w:t>Glavni grad</w:t>
      </w:r>
      <w:r w:rsidRPr="00BE66EB">
        <w:rPr>
          <w:sz w:val="22"/>
          <w:szCs w:val="22"/>
        </w:rPr>
        <w:t xml:space="preserve"> Podgorica ima bogat strateški okvir za socijalnu inkluziju i smanjenje siromaštva, kojeg sačinjavaju Lokalni plan za unapređenje socijalne inkluzije i razvoj usluga socijalne i dječje zaštite 2020-2023; Akcioni plan za postizanje rodne ravnopravnosti; Akcioni plan za mlade; Strateški plan razvoja Glavnog grada Podgorica. </w:t>
      </w:r>
    </w:p>
    <w:p w:rsidR="00E3466A" w:rsidRPr="00BE66EB" w:rsidRDefault="00E3466A" w:rsidP="005526BB">
      <w:pPr>
        <w:jc w:val="both"/>
        <w:rPr>
          <w:sz w:val="22"/>
          <w:szCs w:val="22"/>
        </w:rPr>
      </w:pPr>
    </w:p>
    <w:p w:rsidR="00E3466A" w:rsidRPr="00BE66EB" w:rsidRDefault="00E3466A" w:rsidP="005526BB">
      <w:pPr>
        <w:jc w:val="both"/>
        <w:rPr>
          <w:sz w:val="22"/>
          <w:szCs w:val="22"/>
        </w:rPr>
      </w:pPr>
      <w:r w:rsidRPr="00BE66EB">
        <w:rPr>
          <w:sz w:val="22"/>
          <w:szCs w:val="22"/>
        </w:rPr>
        <w:t>U cilju obezbjeđenja što kvalitetnije zaštite građana Podgorice koji se nalaze u stanju socijalne potrebe, Sekretarijat za socijalno staranje Glavnog grada obezbjeđuje sljedeće vidove zaštite: pomoć i njega u kući, jednokratna pomoć, besplatni dnevni obrok, stanovanje uz podršku, kao i oblike dječje zaštite: poklon-paketi za novorođenčad, novčana pomoć za kupovinu udžbenika i školskog pribora i besplatni odmor i rekreacija.</w:t>
      </w:r>
      <w:r>
        <w:rPr>
          <w:sz w:val="22"/>
          <w:szCs w:val="22"/>
        </w:rPr>
        <w:t xml:space="preserve"> </w:t>
      </w:r>
      <w:r w:rsidRPr="00BE66EB">
        <w:rPr>
          <w:sz w:val="22"/>
          <w:szCs w:val="22"/>
        </w:rPr>
        <w:t>Briga o sugrađanima treće životne dobi obezbjeđivala se kroz realizaciju programa pomoći i njege u kući. Ovu vrstu pomoći, posredstvom Sekretarijata za socijalno staranje ostvarivalo je u svakom momentu više od 100 starih lica. Takođe, Kancelarija za prevenciju narkomanije, koja djeluje u okviru Sekretarijata za socijalno staranje, kontinuirano realizuje promotivno-edukativne aktivnosti o štetnosti opojnih droga namijenjene djec</w:t>
      </w:r>
      <w:r w:rsidR="00874557">
        <w:rPr>
          <w:sz w:val="22"/>
          <w:szCs w:val="22"/>
        </w:rPr>
        <w:t>i</w:t>
      </w:r>
      <w:r w:rsidRPr="00BE66EB">
        <w:rPr>
          <w:sz w:val="22"/>
          <w:szCs w:val="22"/>
        </w:rPr>
        <w:t>, mladima i njihovim roditeljima.</w:t>
      </w:r>
      <w:r w:rsidRPr="00BE66EB">
        <w:rPr>
          <w:rStyle w:val="FootnoteReference"/>
          <w:sz w:val="22"/>
          <w:szCs w:val="22"/>
        </w:rPr>
        <w:footnoteReference w:id="24"/>
      </w:r>
    </w:p>
    <w:p w:rsidR="00E3466A" w:rsidRDefault="00E3466A" w:rsidP="005526BB">
      <w:pPr>
        <w:jc w:val="both"/>
        <w:rPr>
          <w:szCs w:val="20"/>
        </w:rPr>
      </w:pPr>
    </w:p>
    <w:p w:rsidR="00E3466A" w:rsidRPr="00BE66EB" w:rsidRDefault="00E3466A" w:rsidP="005526BB">
      <w:pPr>
        <w:jc w:val="both"/>
        <w:rPr>
          <w:sz w:val="22"/>
          <w:szCs w:val="22"/>
        </w:rPr>
      </w:pPr>
      <w:r w:rsidRPr="00BE66EB">
        <w:rPr>
          <w:sz w:val="22"/>
          <w:szCs w:val="22"/>
        </w:rPr>
        <w:t xml:space="preserve">Centar za kompetencije je prepoznat kao značajan resurs opštine za obrazovanje i osposobljavanje, a u narednom periodu je potrebno </w:t>
      </w:r>
      <w:r w:rsidR="00DF79B2">
        <w:rPr>
          <w:sz w:val="22"/>
          <w:szCs w:val="22"/>
        </w:rPr>
        <w:t xml:space="preserve">sprovesti dodatne aktivnosti informisanja </w:t>
      </w:r>
      <w:r w:rsidRPr="00BE66EB">
        <w:rPr>
          <w:sz w:val="22"/>
          <w:szCs w:val="22"/>
        </w:rPr>
        <w:t>relevantn</w:t>
      </w:r>
      <w:r w:rsidR="00DF79B2">
        <w:rPr>
          <w:sz w:val="22"/>
          <w:szCs w:val="22"/>
        </w:rPr>
        <w:t>ih</w:t>
      </w:r>
      <w:r w:rsidRPr="00BE66EB">
        <w:rPr>
          <w:sz w:val="22"/>
          <w:szCs w:val="22"/>
        </w:rPr>
        <w:t xml:space="preserve"> organizacij</w:t>
      </w:r>
      <w:r w:rsidR="00DF79B2">
        <w:rPr>
          <w:sz w:val="22"/>
          <w:szCs w:val="22"/>
        </w:rPr>
        <w:t>a</w:t>
      </w:r>
      <w:r w:rsidRPr="00BE66EB">
        <w:rPr>
          <w:sz w:val="22"/>
          <w:szCs w:val="22"/>
        </w:rPr>
        <w:t xml:space="preserve"> kako bi se kapaciteti </w:t>
      </w:r>
      <w:r w:rsidR="00DF79B2">
        <w:rPr>
          <w:sz w:val="22"/>
          <w:szCs w:val="22"/>
        </w:rPr>
        <w:t xml:space="preserve">centra </w:t>
      </w:r>
      <w:r w:rsidRPr="00BE66EB">
        <w:rPr>
          <w:sz w:val="22"/>
          <w:szCs w:val="22"/>
        </w:rPr>
        <w:t xml:space="preserve">stavili na raspolaganje </w:t>
      </w:r>
      <w:r w:rsidR="00DF79B2">
        <w:rPr>
          <w:sz w:val="22"/>
          <w:szCs w:val="22"/>
        </w:rPr>
        <w:t xml:space="preserve">za sticanje znanja i vještina </w:t>
      </w:r>
      <w:r w:rsidRPr="00BE66EB">
        <w:rPr>
          <w:sz w:val="22"/>
          <w:szCs w:val="22"/>
        </w:rPr>
        <w:t xml:space="preserve">što većem broju ranjivih grupa. </w:t>
      </w:r>
    </w:p>
    <w:p w:rsidR="00E3466A" w:rsidRPr="00BE66EB" w:rsidRDefault="00E3466A" w:rsidP="005526BB">
      <w:pPr>
        <w:jc w:val="both"/>
        <w:rPr>
          <w:sz w:val="22"/>
          <w:szCs w:val="22"/>
        </w:rPr>
      </w:pPr>
    </w:p>
    <w:p w:rsidR="00E3466A" w:rsidRPr="00BE66EB" w:rsidRDefault="00E3466A" w:rsidP="005526BB">
      <w:pPr>
        <w:jc w:val="both"/>
        <w:rPr>
          <w:sz w:val="22"/>
          <w:szCs w:val="22"/>
        </w:rPr>
      </w:pPr>
      <w:r w:rsidRPr="00BE66EB">
        <w:rPr>
          <w:sz w:val="22"/>
          <w:szCs w:val="22"/>
        </w:rPr>
        <w:t>Prema mišljenju članova lokalnog partnerstva za zapošljavanje postoje značajne nejednakosti između lica koja žive u gradskom jezgru i u ruralnim područjima, naročito po pitanju rodne ravnopravnosti. Radi boljeg uvida u realno stanje i preciznijeg targetiranja, potrebno je dalje raščlaniti podatke po polu, tipu naselja u kojem korisnici žive i drugim kriterijuma od značaja za planiranje adekvatnih mjera podrške.</w:t>
      </w:r>
    </w:p>
    <w:p w:rsidR="00E3466A" w:rsidRPr="00BE66EB" w:rsidRDefault="00E3466A" w:rsidP="005526BB">
      <w:pPr>
        <w:jc w:val="both"/>
        <w:rPr>
          <w:sz w:val="22"/>
          <w:szCs w:val="22"/>
        </w:rPr>
      </w:pPr>
    </w:p>
    <w:p w:rsidR="00E3466A" w:rsidRPr="00BE66EB" w:rsidRDefault="00E3466A" w:rsidP="005526BB">
      <w:pPr>
        <w:jc w:val="both"/>
        <w:rPr>
          <w:sz w:val="22"/>
          <w:szCs w:val="22"/>
        </w:rPr>
      </w:pPr>
      <w:r w:rsidRPr="00BE66EB">
        <w:rPr>
          <w:sz w:val="22"/>
          <w:szCs w:val="22"/>
        </w:rPr>
        <w:t xml:space="preserve">Pojedini aspekti tradicionalnog društvenog okvira predstavljaju barijeru za puno uključenje grupa u nepovoljnom položaju na tržište rada. Ovo se odnosi na  stavove i predrasude kako poslodavaca tako i samih predstavnika ranjivih grupa (npr. u određenim zajednicama se i dalje smatra da žena ne treba da se obrazuje, radi ili nasljeđuje imovinu ravnopravno sa muškim članovima porodice). </w:t>
      </w:r>
    </w:p>
    <w:p w:rsidR="00E3466A" w:rsidRPr="00BE66EB" w:rsidRDefault="00E3466A" w:rsidP="005526BB">
      <w:pPr>
        <w:jc w:val="both"/>
        <w:rPr>
          <w:sz w:val="22"/>
          <w:szCs w:val="22"/>
        </w:rPr>
      </w:pPr>
    </w:p>
    <w:p w:rsidR="00E3466A" w:rsidRPr="00BE66EB" w:rsidRDefault="00E3466A" w:rsidP="005526BB">
      <w:pPr>
        <w:jc w:val="both"/>
        <w:rPr>
          <w:sz w:val="22"/>
          <w:szCs w:val="22"/>
        </w:rPr>
      </w:pPr>
      <w:r w:rsidRPr="00BE66EB">
        <w:rPr>
          <w:sz w:val="22"/>
          <w:szCs w:val="22"/>
        </w:rPr>
        <w:t xml:space="preserve">Prilikom prijavljivanja za različite mjere podrške, potencijalni korisnici iz ranjivih grupa su često obeshabreni zahtjevnim procedurama, te je potrebno nastaviti sa njihovim pojednostavljivanjem i uklanjanjem drugih administrativnih barijera na lokalnom nivou, </w:t>
      </w:r>
      <w:r w:rsidR="00F67634">
        <w:rPr>
          <w:sz w:val="22"/>
          <w:szCs w:val="22"/>
        </w:rPr>
        <w:t>k</w:t>
      </w:r>
      <w:r w:rsidRPr="00BE66EB">
        <w:rPr>
          <w:sz w:val="22"/>
          <w:szCs w:val="22"/>
        </w:rPr>
        <w:t>a</w:t>
      </w:r>
      <w:r w:rsidR="00F67634">
        <w:rPr>
          <w:sz w:val="22"/>
          <w:szCs w:val="22"/>
        </w:rPr>
        <w:t>o</w:t>
      </w:r>
      <w:r w:rsidRPr="00BE66EB">
        <w:rPr>
          <w:sz w:val="22"/>
          <w:szCs w:val="22"/>
        </w:rPr>
        <w:t xml:space="preserve"> i organizovanjem efikasnije tehnično-administrativne pomoći </w:t>
      </w:r>
      <w:r w:rsidR="00F67634">
        <w:rPr>
          <w:sz w:val="22"/>
          <w:szCs w:val="22"/>
        </w:rPr>
        <w:t>ovim grupama</w:t>
      </w:r>
      <w:r w:rsidRPr="00BE66EB">
        <w:rPr>
          <w:sz w:val="22"/>
          <w:szCs w:val="22"/>
        </w:rPr>
        <w:t xml:space="preserve">. </w:t>
      </w:r>
    </w:p>
    <w:p w:rsidR="00E3466A" w:rsidRDefault="00E3466A" w:rsidP="005526BB">
      <w:pPr>
        <w:rPr>
          <w:sz w:val="22"/>
          <w:szCs w:val="22"/>
        </w:rPr>
      </w:pPr>
    </w:p>
    <w:p w:rsidR="00E3466A" w:rsidRPr="00BE66EB" w:rsidRDefault="00E3466A" w:rsidP="005526BB">
      <w:pPr>
        <w:rPr>
          <w:sz w:val="22"/>
          <w:szCs w:val="22"/>
        </w:rPr>
      </w:pPr>
      <w:r w:rsidRPr="00BE66EB">
        <w:rPr>
          <w:sz w:val="22"/>
          <w:szCs w:val="22"/>
        </w:rPr>
        <w:t xml:space="preserve">Potrebno je dodatno istražiti položaj manjina i drugih specifičnih grupa na tržištu rada, kako bi se osiguralo da aktivne mjere zapošljavanja budu dostupne svima. </w:t>
      </w:r>
    </w:p>
    <w:p w:rsidR="00E3466A" w:rsidRPr="00713467" w:rsidRDefault="00E3466A" w:rsidP="005526BB">
      <w:pPr>
        <w:jc w:val="both"/>
        <w:rPr>
          <w:sz w:val="22"/>
          <w:szCs w:val="22"/>
          <w:highlight w:val="yellow"/>
        </w:rPr>
      </w:pPr>
    </w:p>
    <w:p w:rsidR="00E3466A" w:rsidRPr="00385224" w:rsidRDefault="00FC2D96" w:rsidP="00385224">
      <w:pPr>
        <w:pStyle w:val="Heading3"/>
      </w:pPr>
      <w:r w:rsidRPr="00385224">
        <w:t xml:space="preserve">3.7.1 </w:t>
      </w:r>
      <w:r w:rsidR="00E3466A" w:rsidRPr="00385224">
        <w:t>Korisnici socijalne zaštite</w:t>
      </w:r>
    </w:p>
    <w:p w:rsidR="00E3466A" w:rsidRDefault="00E3466A" w:rsidP="005526BB">
      <w:pPr>
        <w:ind w:left="708"/>
        <w:jc w:val="both"/>
        <w:rPr>
          <w:bCs/>
          <w:i/>
          <w:iCs/>
          <w:sz w:val="22"/>
          <w:szCs w:val="22"/>
          <w:highlight w:val="yellow"/>
        </w:rPr>
      </w:pPr>
    </w:p>
    <w:p w:rsidR="00E3466A" w:rsidRDefault="00E3466A" w:rsidP="005526BB">
      <w:pPr>
        <w:rPr>
          <w:bCs/>
          <w:szCs w:val="20"/>
        </w:rPr>
      </w:pPr>
      <w:r w:rsidRPr="00E83740">
        <w:rPr>
          <w:bCs/>
          <w:szCs w:val="20"/>
        </w:rPr>
        <w:t>Tabela 1</w:t>
      </w:r>
      <w:r>
        <w:rPr>
          <w:bCs/>
          <w:szCs w:val="20"/>
        </w:rPr>
        <w:t>5</w:t>
      </w:r>
      <w:r w:rsidRPr="00E83740">
        <w:rPr>
          <w:bCs/>
          <w:szCs w:val="20"/>
        </w:rPr>
        <w:t xml:space="preserve">: Korisnici </w:t>
      </w:r>
      <w:r w:rsidRPr="00E83740">
        <w:rPr>
          <w:bCs/>
          <w:szCs w:val="20"/>
        </w:rPr>
        <w:softHyphen/>
      </w:r>
      <w:r>
        <w:rPr>
          <w:bCs/>
          <w:szCs w:val="20"/>
        </w:rPr>
        <w:t xml:space="preserve">prava do </w:t>
      </w:r>
      <w:r w:rsidR="00DF79B2">
        <w:rPr>
          <w:bCs/>
          <w:szCs w:val="20"/>
        </w:rPr>
        <w:t>MOP (</w:t>
      </w:r>
      <w:r>
        <w:rPr>
          <w:bCs/>
          <w:szCs w:val="20"/>
        </w:rPr>
        <w:t>materijalno obezbeđ</w:t>
      </w:r>
      <w:r w:rsidR="00DF79B2">
        <w:rPr>
          <w:bCs/>
          <w:szCs w:val="20"/>
        </w:rPr>
        <w:t>en</w:t>
      </w:r>
      <w:r>
        <w:rPr>
          <w:bCs/>
          <w:szCs w:val="20"/>
        </w:rPr>
        <w:t>je porodic</w:t>
      </w:r>
      <w:r w:rsidR="00DF79B2">
        <w:rPr>
          <w:bCs/>
          <w:szCs w:val="20"/>
        </w:rPr>
        <w:t>e)</w:t>
      </w:r>
    </w:p>
    <w:p w:rsidR="00C7285E" w:rsidRPr="00E83740" w:rsidRDefault="00C7285E" w:rsidP="005526BB">
      <w:pPr>
        <w:rPr>
          <w:bCs/>
          <w:szCs w:val="20"/>
        </w:rPr>
      </w:pPr>
    </w:p>
    <w:p w:rsidR="00E3466A" w:rsidRPr="00E83740" w:rsidRDefault="00C7285E" w:rsidP="00C7285E">
      <w:pPr>
        <w:jc w:val="center"/>
        <w:rPr>
          <w:bCs/>
          <w:szCs w:val="20"/>
        </w:rPr>
      </w:pPr>
      <w:r w:rsidRPr="00C7285E">
        <w:rPr>
          <w:noProof/>
          <w:lang w:val="en-US"/>
        </w:rPr>
        <w:lastRenderedPageBreak/>
        <w:drawing>
          <wp:inline distT="0" distB="0" distL="0" distR="0">
            <wp:extent cx="5784215" cy="1729740"/>
            <wp:effectExtent l="0" t="0" r="698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5607" cy="1736137"/>
                    </a:xfrm>
                    <a:prstGeom prst="rect">
                      <a:avLst/>
                    </a:prstGeom>
                    <a:noFill/>
                    <a:ln>
                      <a:noFill/>
                    </a:ln>
                  </pic:spPr>
                </pic:pic>
              </a:graphicData>
            </a:graphic>
          </wp:inline>
        </w:drawing>
      </w:r>
    </w:p>
    <w:p w:rsidR="00E3466A" w:rsidRPr="00DF79B2" w:rsidRDefault="00DF79B2" w:rsidP="00DF79B2">
      <w:pPr>
        <w:ind w:left="5664"/>
        <w:rPr>
          <w:bCs/>
          <w:sz w:val="18"/>
        </w:rPr>
      </w:pPr>
      <w:r w:rsidRPr="00DF79B2">
        <w:rPr>
          <w:bCs/>
          <w:sz w:val="18"/>
        </w:rPr>
        <w:t>Izvor: Ministarstvo rada i socijalnog staranja</w:t>
      </w:r>
    </w:p>
    <w:p w:rsidR="00DF79B2" w:rsidRDefault="00DF79B2" w:rsidP="005526BB">
      <w:pPr>
        <w:rPr>
          <w:bCs/>
          <w:szCs w:val="20"/>
        </w:rPr>
      </w:pPr>
    </w:p>
    <w:p w:rsidR="00E3466A" w:rsidRDefault="00E3466A" w:rsidP="005526BB">
      <w:pPr>
        <w:jc w:val="both"/>
        <w:rPr>
          <w:sz w:val="22"/>
          <w:szCs w:val="22"/>
        </w:rPr>
      </w:pPr>
      <w:r w:rsidRPr="00667F8F">
        <w:rPr>
          <w:sz w:val="22"/>
          <w:szCs w:val="22"/>
        </w:rPr>
        <w:t xml:space="preserve">Broj korisnika MOP se u </w:t>
      </w:r>
      <w:r>
        <w:rPr>
          <w:sz w:val="22"/>
          <w:szCs w:val="22"/>
        </w:rPr>
        <w:t>Podgorici</w:t>
      </w:r>
      <w:r w:rsidRPr="00667F8F">
        <w:rPr>
          <w:sz w:val="22"/>
          <w:szCs w:val="22"/>
        </w:rPr>
        <w:t xml:space="preserve"> u periodu 2011 do 2019 značajno smanjio. Broj porodica u 2011. godini iznosio je </w:t>
      </w:r>
      <w:r>
        <w:rPr>
          <w:sz w:val="22"/>
          <w:szCs w:val="22"/>
        </w:rPr>
        <w:t>2</w:t>
      </w:r>
      <w:r w:rsidR="00DF79B2">
        <w:rPr>
          <w:sz w:val="22"/>
          <w:szCs w:val="22"/>
        </w:rPr>
        <w:t>.</w:t>
      </w:r>
      <w:r>
        <w:rPr>
          <w:sz w:val="22"/>
          <w:szCs w:val="22"/>
        </w:rPr>
        <w:t>863</w:t>
      </w:r>
      <w:r w:rsidRPr="00667F8F">
        <w:rPr>
          <w:sz w:val="22"/>
          <w:szCs w:val="22"/>
        </w:rPr>
        <w:t xml:space="preserve"> a u 2019. godini </w:t>
      </w:r>
      <w:r>
        <w:rPr>
          <w:sz w:val="22"/>
          <w:szCs w:val="22"/>
        </w:rPr>
        <w:t>1676</w:t>
      </w:r>
      <w:r w:rsidRPr="00667F8F">
        <w:rPr>
          <w:sz w:val="22"/>
          <w:szCs w:val="22"/>
        </w:rPr>
        <w:t xml:space="preserve"> što predstavlja smanjenje za </w:t>
      </w:r>
      <w:r>
        <w:rPr>
          <w:sz w:val="22"/>
          <w:szCs w:val="22"/>
        </w:rPr>
        <w:t>41,5</w:t>
      </w:r>
      <w:r w:rsidRPr="00667F8F">
        <w:rPr>
          <w:sz w:val="22"/>
          <w:szCs w:val="22"/>
        </w:rPr>
        <w:t>%. U istom period</w:t>
      </w:r>
      <w:r>
        <w:rPr>
          <w:sz w:val="22"/>
          <w:szCs w:val="22"/>
        </w:rPr>
        <w:t>u</w:t>
      </w:r>
      <w:r w:rsidRPr="00667F8F">
        <w:rPr>
          <w:sz w:val="22"/>
          <w:szCs w:val="22"/>
        </w:rPr>
        <w:t xml:space="preserve"> broj članova porodica smanjio se </w:t>
      </w:r>
      <w:r>
        <w:rPr>
          <w:sz w:val="22"/>
          <w:szCs w:val="22"/>
        </w:rPr>
        <w:t>sa</w:t>
      </w:r>
      <w:r w:rsidRPr="00667F8F">
        <w:rPr>
          <w:sz w:val="22"/>
          <w:szCs w:val="22"/>
        </w:rPr>
        <w:t xml:space="preserve"> </w:t>
      </w:r>
      <w:r>
        <w:rPr>
          <w:sz w:val="22"/>
          <w:szCs w:val="22"/>
        </w:rPr>
        <w:t>9</w:t>
      </w:r>
      <w:r w:rsidR="006C33E0">
        <w:rPr>
          <w:sz w:val="22"/>
          <w:szCs w:val="22"/>
        </w:rPr>
        <w:t>.</w:t>
      </w:r>
      <w:r>
        <w:rPr>
          <w:sz w:val="22"/>
          <w:szCs w:val="22"/>
        </w:rPr>
        <w:t>201</w:t>
      </w:r>
      <w:r w:rsidRPr="00667F8F">
        <w:rPr>
          <w:sz w:val="22"/>
          <w:szCs w:val="22"/>
        </w:rPr>
        <w:t xml:space="preserve"> u 2011</w:t>
      </w:r>
      <w:r w:rsidR="006C33E0">
        <w:rPr>
          <w:sz w:val="22"/>
          <w:szCs w:val="22"/>
        </w:rPr>
        <w:t>.</w:t>
      </w:r>
      <w:r w:rsidRPr="00667F8F">
        <w:rPr>
          <w:sz w:val="22"/>
          <w:szCs w:val="22"/>
        </w:rPr>
        <w:t xml:space="preserve"> na </w:t>
      </w:r>
      <w:r>
        <w:rPr>
          <w:sz w:val="22"/>
          <w:szCs w:val="22"/>
        </w:rPr>
        <w:t>5</w:t>
      </w:r>
      <w:r w:rsidR="006C33E0">
        <w:rPr>
          <w:sz w:val="22"/>
          <w:szCs w:val="22"/>
        </w:rPr>
        <w:t>.</w:t>
      </w:r>
      <w:r>
        <w:rPr>
          <w:sz w:val="22"/>
          <w:szCs w:val="22"/>
        </w:rPr>
        <w:t>578</w:t>
      </w:r>
      <w:r w:rsidRPr="00667F8F">
        <w:rPr>
          <w:sz w:val="22"/>
          <w:szCs w:val="22"/>
        </w:rPr>
        <w:t xml:space="preserve"> u 2019.</w:t>
      </w:r>
      <w:r>
        <w:rPr>
          <w:sz w:val="22"/>
          <w:szCs w:val="22"/>
        </w:rPr>
        <w:t xml:space="preserve"> </w:t>
      </w:r>
      <w:r w:rsidR="006C33E0" w:rsidRPr="00667F8F">
        <w:rPr>
          <w:sz w:val="22"/>
          <w:szCs w:val="22"/>
        </w:rPr>
        <w:t>G</w:t>
      </w:r>
      <w:r w:rsidRPr="00667F8F">
        <w:rPr>
          <w:sz w:val="22"/>
          <w:szCs w:val="22"/>
        </w:rPr>
        <w:t>odini</w:t>
      </w:r>
      <w:r w:rsidR="006C33E0">
        <w:rPr>
          <w:sz w:val="22"/>
          <w:szCs w:val="22"/>
        </w:rPr>
        <w:t>,</w:t>
      </w:r>
      <w:r w:rsidRPr="00667F8F">
        <w:rPr>
          <w:sz w:val="22"/>
          <w:szCs w:val="22"/>
        </w:rPr>
        <w:t xml:space="preserve"> što pre</w:t>
      </w:r>
      <w:r w:rsidR="006C33E0">
        <w:rPr>
          <w:sz w:val="22"/>
          <w:szCs w:val="22"/>
        </w:rPr>
        <w:t>d</w:t>
      </w:r>
      <w:r w:rsidRPr="00667F8F">
        <w:rPr>
          <w:sz w:val="22"/>
          <w:szCs w:val="22"/>
        </w:rPr>
        <w:t xml:space="preserve">stavlja smanjenje za </w:t>
      </w:r>
      <w:r>
        <w:rPr>
          <w:sz w:val="22"/>
          <w:szCs w:val="22"/>
        </w:rPr>
        <w:t>39.4</w:t>
      </w:r>
      <w:r w:rsidRPr="00667F8F">
        <w:rPr>
          <w:sz w:val="22"/>
          <w:szCs w:val="22"/>
        </w:rPr>
        <w:t xml:space="preserve">%. </w:t>
      </w:r>
    </w:p>
    <w:p w:rsidR="006A4215" w:rsidRDefault="006A4215" w:rsidP="005526BB">
      <w:pPr>
        <w:jc w:val="both"/>
        <w:rPr>
          <w:sz w:val="22"/>
          <w:szCs w:val="22"/>
        </w:rPr>
      </w:pPr>
    </w:p>
    <w:p w:rsidR="00E3466A" w:rsidRDefault="00E3466A" w:rsidP="005526BB">
      <w:pPr>
        <w:jc w:val="both"/>
        <w:rPr>
          <w:sz w:val="22"/>
          <w:szCs w:val="22"/>
        </w:rPr>
      </w:pPr>
      <w:r w:rsidRPr="00A13EDD">
        <w:rPr>
          <w:sz w:val="22"/>
          <w:szCs w:val="22"/>
        </w:rPr>
        <w:t xml:space="preserve">Broj članova </w:t>
      </w:r>
      <w:r>
        <w:rPr>
          <w:sz w:val="22"/>
          <w:szCs w:val="22"/>
        </w:rPr>
        <w:t>-</w:t>
      </w:r>
      <w:r w:rsidRPr="00A13EDD">
        <w:rPr>
          <w:sz w:val="22"/>
          <w:szCs w:val="22"/>
        </w:rPr>
        <w:t xml:space="preserve"> korisnika MOP na ukupno stanovništvo </w:t>
      </w:r>
      <w:r>
        <w:rPr>
          <w:sz w:val="22"/>
          <w:szCs w:val="22"/>
        </w:rPr>
        <w:t>iznosio</w:t>
      </w:r>
      <w:r w:rsidRPr="00A13EDD">
        <w:rPr>
          <w:sz w:val="22"/>
          <w:szCs w:val="22"/>
        </w:rPr>
        <w:t xml:space="preserve"> je </w:t>
      </w:r>
      <w:r>
        <w:rPr>
          <w:sz w:val="22"/>
          <w:szCs w:val="22"/>
        </w:rPr>
        <w:t>2,9</w:t>
      </w:r>
      <w:r w:rsidRPr="00A13EDD">
        <w:rPr>
          <w:sz w:val="22"/>
          <w:szCs w:val="22"/>
        </w:rPr>
        <w:t xml:space="preserve"> u 2019.</w:t>
      </w:r>
      <w:r>
        <w:rPr>
          <w:sz w:val="22"/>
          <w:szCs w:val="22"/>
        </w:rPr>
        <w:t xml:space="preserve"> </w:t>
      </w:r>
      <w:r w:rsidRPr="00A13EDD">
        <w:rPr>
          <w:sz w:val="22"/>
          <w:szCs w:val="22"/>
        </w:rPr>
        <w:t>g</w:t>
      </w:r>
      <w:r>
        <w:rPr>
          <w:sz w:val="22"/>
          <w:szCs w:val="22"/>
        </w:rPr>
        <w:t>odini</w:t>
      </w:r>
      <w:r w:rsidRPr="00A13EDD">
        <w:rPr>
          <w:sz w:val="22"/>
          <w:szCs w:val="22"/>
        </w:rPr>
        <w:t xml:space="preserve"> što je manje od prosjeka </w:t>
      </w:r>
      <w:r>
        <w:rPr>
          <w:sz w:val="22"/>
          <w:szCs w:val="22"/>
        </w:rPr>
        <w:t>u Središnjem region</w:t>
      </w:r>
      <w:r w:rsidR="00DD46F3">
        <w:rPr>
          <w:sz w:val="22"/>
          <w:szCs w:val="22"/>
        </w:rPr>
        <w:t>u</w:t>
      </w:r>
      <w:r>
        <w:rPr>
          <w:sz w:val="22"/>
          <w:szCs w:val="22"/>
        </w:rPr>
        <w:t xml:space="preserve"> (3,8) i ukupno </w:t>
      </w:r>
      <w:r w:rsidRPr="00A13EDD">
        <w:rPr>
          <w:sz w:val="22"/>
          <w:szCs w:val="22"/>
        </w:rPr>
        <w:t>Crne Gore (4,7)</w:t>
      </w:r>
      <w:r>
        <w:rPr>
          <w:sz w:val="22"/>
          <w:szCs w:val="22"/>
        </w:rPr>
        <w:t>.</w:t>
      </w:r>
    </w:p>
    <w:p w:rsidR="00E3466A" w:rsidRPr="00A13EDD" w:rsidRDefault="00E3466A" w:rsidP="005526BB">
      <w:pPr>
        <w:jc w:val="both"/>
        <w:rPr>
          <w:bCs/>
          <w:sz w:val="22"/>
          <w:szCs w:val="22"/>
        </w:rPr>
      </w:pPr>
    </w:p>
    <w:p w:rsidR="00E3466A" w:rsidRPr="00DF79B2" w:rsidRDefault="00FC2D96" w:rsidP="00385224">
      <w:pPr>
        <w:pStyle w:val="Heading3"/>
      </w:pPr>
      <w:r w:rsidRPr="00DF79B2">
        <w:t xml:space="preserve">3.7.2 </w:t>
      </w:r>
      <w:r w:rsidR="00E3466A" w:rsidRPr="00DF79B2">
        <w:t>Grupe u nepovoljnom položaju na tržištu rada Podgorice</w:t>
      </w:r>
    </w:p>
    <w:p w:rsidR="00E3466A" w:rsidRDefault="00E3466A" w:rsidP="005526BB">
      <w:pPr>
        <w:jc w:val="both"/>
        <w:rPr>
          <w:bCs/>
          <w:i/>
          <w:iCs/>
          <w:sz w:val="22"/>
          <w:szCs w:val="22"/>
        </w:rPr>
      </w:pPr>
    </w:p>
    <w:p w:rsidR="00E3466A" w:rsidRDefault="00E3466A" w:rsidP="005526BB">
      <w:pPr>
        <w:jc w:val="both"/>
        <w:rPr>
          <w:bCs/>
          <w:sz w:val="22"/>
          <w:szCs w:val="22"/>
        </w:rPr>
      </w:pPr>
      <w:r w:rsidRPr="00D851A1">
        <w:rPr>
          <w:bCs/>
          <w:sz w:val="22"/>
          <w:szCs w:val="22"/>
        </w:rPr>
        <w:t>Na osnov</w:t>
      </w:r>
      <w:r>
        <w:rPr>
          <w:bCs/>
          <w:sz w:val="22"/>
          <w:szCs w:val="22"/>
        </w:rPr>
        <w:t>u</w:t>
      </w:r>
      <w:r w:rsidRPr="00D851A1">
        <w:rPr>
          <w:bCs/>
          <w:sz w:val="22"/>
          <w:szCs w:val="22"/>
        </w:rPr>
        <w:t xml:space="preserve"> analize podataka </w:t>
      </w:r>
      <w:r>
        <w:rPr>
          <w:bCs/>
          <w:sz w:val="22"/>
          <w:szCs w:val="22"/>
        </w:rPr>
        <w:t xml:space="preserve">prikupljenih </w:t>
      </w:r>
      <w:r w:rsidRPr="00D851A1">
        <w:rPr>
          <w:bCs/>
          <w:sz w:val="22"/>
          <w:szCs w:val="22"/>
        </w:rPr>
        <w:t xml:space="preserve">iz sekundarnih izvora informacija i poznavanja situacije na lokalnom tržištu rada članovi lokalnog partnerstva za zapošljavanje </w:t>
      </w:r>
      <w:r>
        <w:rPr>
          <w:bCs/>
          <w:sz w:val="22"/>
          <w:szCs w:val="22"/>
        </w:rPr>
        <w:t>odredili</w:t>
      </w:r>
      <w:r w:rsidRPr="00D851A1">
        <w:rPr>
          <w:bCs/>
          <w:sz w:val="22"/>
          <w:szCs w:val="22"/>
        </w:rPr>
        <w:t xml:space="preserve"> su grupe koje su u najnepovoljnijem položaju na lokalnom tržištu rada. </w:t>
      </w:r>
    </w:p>
    <w:p w:rsidR="00E3466A" w:rsidRPr="00BE66EB" w:rsidRDefault="00E3466A" w:rsidP="005526BB">
      <w:pPr>
        <w:pStyle w:val="ListParagraph"/>
        <w:numPr>
          <w:ilvl w:val="0"/>
          <w:numId w:val="25"/>
        </w:numPr>
        <w:rPr>
          <w:sz w:val="22"/>
          <w:szCs w:val="22"/>
        </w:rPr>
      </w:pPr>
      <w:r w:rsidRPr="00BE66EB">
        <w:rPr>
          <w:sz w:val="22"/>
          <w:szCs w:val="22"/>
        </w:rPr>
        <w:t>Romi i Egip</w:t>
      </w:r>
      <w:r w:rsidRPr="00BE66EB">
        <w:rPr>
          <w:sz w:val="22"/>
          <w:szCs w:val="22"/>
          <w:lang w:val="bs-Latn-BA"/>
        </w:rPr>
        <w:t>ćani, naročito žene</w:t>
      </w:r>
      <w:r w:rsidR="005C5AB0">
        <w:rPr>
          <w:sz w:val="22"/>
          <w:szCs w:val="22"/>
          <w:lang w:val="bs-Latn-BA"/>
        </w:rPr>
        <w:t>;</w:t>
      </w:r>
      <w:r w:rsidRPr="00BE66EB">
        <w:rPr>
          <w:sz w:val="22"/>
          <w:szCs w:val="22"/>
          <w:lang w:val="bs-Latn-BA"/>
        </w:rPr>
        <w:t xml:space="preserve"> </w:t>
      </w:r>
    </w:p>
    <w:p w:rsidR="00E3466A" w:rsidRPr="00BE66EB" w:rsidRDefault="00E3466A" w:rsidP="005526BB">
      <w:pPr>
        <w:pStyle w:val="ListParagraph"/>
        <w:numPr>
          <w:ilvl w:val="0"/>
          <w:numId w:val="25"/>
        </w:numPr>
        <w:rPr>
          <w:sz w:val="22"/>
          <w:szCs w:val="22"/>
        </w:rPr>
      </w:pPr>
      <w:r w:rsidRPr="00BE66EB">
        <w:rPr>
          <w:sz w:val="22"/>
          <w:szCs w:val="22"/>
          <w:lang w:val="bs-Latn-BA"/>
        </w:rPr>
        <w:t>Lica sa invaliditetom</w:t>
      </w:r>
      <w:r w:rsidR="00385224">
        <w:rPr>
          <w:sz w:val="22"/>
          <w:szCs w:val="22"/>
          <w:lang w:val="bs-Latn-BA"/>
        </w:rPr>
        <w:t>;</w:t>
      </w:r>
    </w:p>
    <w:p w:rsidR="00E3466A" w:rsidRPr="00073BDA" w:rsidRDefault="00E3466A" w:rsidP="00385224">
      <w:pPr>
        <w:pStyle w:val="ListParagraph"/>
        <w:numPr>
          <w:ilvl w:val="0"/>
          <w:numId w:val="41"/>
        </w:numPr>
        <w:rPr>
          <w:sz w:val="22"/>
          <w:szCs w:val="22"/>
        </w:rPr>
      </w:pPr>
      <w:r w:rsidRPr="00073BDA">
        <w:rPr>
          <w:sz w:val="22"/>
          <w:szCs w:val="22"/>
          <w:lang w:val="bs-Latn-BA"/>
        </w:rPr>
        <w:t>Manje obrazovana nezaposlena lica</w:t>
      </w:r>
      <w:r w:rsidR="00073BDA" w:rsidRPr="00073BDA">
        <w:rPr>
          <w:sz w:val="22"/>
          <w:szCs w:val="22"/>
          <w:lang w:val="bs-Latn-BA"/>
        </w:rPr>
        <w:t>, naročito ž</w:t>
      </w:r>
      <w:r w:rsidRPr="00073BDA">
        <w:rPr>
          <w:sz w:val="22"/>
          <w:szCs w:val="22"/>
          <w:lang w:val="bs-Latn-BA"/>
        </w:rPr>
        <w:t>ene</w:t>
      </w:r>
      <w:r w:rsidR="00073BDA" w:rsidRPr="00073BDA">
        <w:rPr>
          <w:sz w:val="22"/>
          <w:szCs w:val="22"/>
          <w:lang w:val="bs-Latn-BA"/>
        </w:rPr>
        <w:t>, l</w:t>
      </w:r>
      <w:r w:rsidRPr="00073BDA">
        <w:rPr>
          <w:sz w:val="22"/>
          <w:szCs w:val="22"/>
          <w:lang w:val="bs-Latn-BA"/>
        </w:rPr>
        <w:t>ica starosti preko 50 godina (naročito  50 - 55)</w:t>
      </w:r>
      <w:r w:rsidR="00073BDA" w:rsidRPr="00073BDA">
        <w:rPr>
          <w:sz w:val="22"/>
          <w:szCs w:val="22"/>
          <w:lang w:val="bs-Latn-BA"/>
        </w:rPr>
        <w:t xml:space="preserve">, </w:t>
      </w:r>
      <w:r w:rsidR="00073BDA">
        <w:rPr>
          <w:sz w:val="22"/>
          <w:szCs w:val="22"/>
          <w:lang w:val="bs-Latn-BA"/>
        </w:rPr>
        <w:t>d</w:t>
      </w:r>
      <w:r w:rsidRPr="00073BDA">
        <w:rPr>
          <w:sz w:val="22"/>
          <w:szCs w:val="22"/>
          <w:lang w:val="bs-Latn-BA"/>
        </w:rPr>
        <w:t>ugoročno nezaposlena lica</w:t>
      </w:r>
      <w:r w:rsidR="005C5AB0">
        <w:rPr>
          <w:sz w:val="22"/>
          <w:szCs w:val="22"/>
          <w:lang w:val="bs-Latn-BA"/>
        </w:rPr>
        <w:t>;</w:t>
      </w:r>
    </w:p>
    <w:p w:rsidR="00E3466A" w:rsidRPr="00DA154A" w:rsidRDefault="00E3466A" w:rsidP="005526BB">
      <w:pPr>
        <w:pStyle w:val="ListParagraph"/>
        <w:numPr>
          <w:ilvl w:val="0"/>
          <w:numId w:val="26"/>
        </w:numPr>
        <w:rPr>
          <w:sz w:val="22"/>
          <w:szCs w:val="22"/>
        </w:rPr>
      </w:pPr>
      <w:r w:rsidRPr="00DA154A">
        <w:rPr>
          <w:sz w:val="22"/>
          <w:szCs w:val="22"/>
          <w:lang w:val="bs-Latn-BA"/>
        </w:rPr>
        <w:t>Korisnici MOP-a</w:t>
      </w:r>
      <w:r w:rsidR="005C5AB0">
        <w:rPr>
          <w:sz w:val="22"/>
          <w:szCs w:val="22"/>
          <w:lang w:val="bs-Latn-BA"/>
        </w:rPr>
        <w:t>;</w:t>
      </w:r>
    </w:p>
    <w:p w:rsidR="00E3466A" w:rsidRPr="00DA154A" w:rsidRDefault="00E3466A" w:rsidP="005526BB">
      <w:pPr>
        <w:pStyle w:val="ListParagraph"/>
        <w:numPr>
          <w:ilvl w:val="0"/>
          <w:numId w:val="26"/>
        </w:numPr>
        <w:rPr>
          <w:sz w:val="22"/>
          <w:szCs w:val="22"/>
        </w:rPr>
      </w:pPr>
      <w:r w:rsidRPr="00DA154A">
        <w:rPr>
          <w:sz w:val="22"/>
          <w:szCs w:val="22"/>
          <w:lang w:val="bs-Latn-BA"/>
        </w:rPr>
        <w:t>Manjine</w:t>
      </w:r>
      <w:r w:rsidR="005C5AB0">
        <w:rPr>
          <w:sz w:val="22"/>
          <w:szCs w:val="22"/>
          <w:lang w:val="bs-Latn-BA"/>
        </w:rPr>
        <w:t>;</w:t>
      </w:r>
    </w:p>
    <w:p w:rsidR="00E3466A" w:rsidRPr="00DA154A" w:rsidRDefault="00E3466A" w:rsidP="005526BB">
      <w:pPr>
        <w:pStyle w:val="ListParagraph"/>
        <w:numPr>
          <w:ilvl w:val="0"/>
          <w:numId w:val="26"/>
        </w:numPr>
        <w:rPr>
          <w:sz w:val="22"/>
          <w:szCs w:val="22"/>
        </w:rPr>
      </w:pPr>
      <w:r w:rsidRPr="00DA154A">
        <w:rPr>
          <w:sz w:val="22"/>
          <w:szCs w:val="22"/>
          <w:lang w:val="bs-Latn-BA"/>
        </w:rPr>
        <w:t>Nezaposlena lica bez radnog staža, naročito niskokvalifikovani</w:t>
      </w:r>
      <w:r w:rsidR="00385224">
        <w:rPr>
          <w:sz w:val="22"/>
          <w:szCs w:val="22"/>
          <w:lang w:val="bs-Latn-BA"/>
        </w:rPr>
        <w:t>;</w:t>
      </w:r>
    </w:p>
    <w:p w:rsidR="00E3466A" w:rsidRPr="00073BDA" w:rsidRDefault="00E3466A" w:rsidP="00385224">
      <w:pPr>
        <w:pStyle w:val="ListParagraph"/>
        <w:numPr>
          <w:ilvl w:val="0"/>
          <w:numId w:val="24"/>
        </w:numPr>
        <w:rPr>
          <w:sz w:val="22"/>
          <w:szCs w:val="22"/>
        </w:rPr>
      </w:pPr>
      <w:r w:rsidRPr="00073BDA">
        <w:rPr>
          <w:sz w:val="22"/>
          <w:szCs w:val="22"/>
          <w:lang w:val="bs-Latn-BA"/>
        </w:rPr>
        <w:t>Žene</w:t>
      </w:r>
      <w:r w:rsidR="00073BDA" w:rsidRPr="00073BDA">
        <w:rPr>
          <w:sz w:val="22"/>
          <w:szCs w:val="22"/>
          <w:lang w:val="bs-Latn-BA"/>
        </w:rPr>
        <w:t>, prvenstveno ž</w:t>
      </w:r>
      <w:r w:rsidRPr="00073BDA">
        <w:rPr>
          <w:sz w:val="22"/>
          <w:szCs w:val="22"/>
          <w:lang w:val="bs-Latn-BA"/>
        </w:rPr>
        <w:t>rtve nasilja</w:t>
      </w:r>
      <w:r w:rsidR="00073BDA" w:rsidRPr="00073BDA">
        <w:rPr>
          <w:sz w:val="22"/>
          <w:szCs w:val="22"/>
          <w:lang w:val="bs-Latn-BA"/>
        </w:rPr>
        <w:t xml:space="preserve"> i </w:t>
      </w:r>
      <w:r w:rsidR="00073BDA">
        <w:rPr>
          <w:sz w:val="22"/>
          <w:szCs w:val="22"/>
          <w:lang w:val="bs-Latn-BA"/>
        </w:rPr>
        <w:t>s</w:t>
      </w:r>
      <w:r w:rsidRPr="00073BDA">
        <w:rPr>
          <w:sz w:val="22"/>
          <w:szCs w:val="22"/>
          <w:lang w:val="bs-Latn-BA"/>
        </w:rPr>
        <w:t>amohrane majke</w:t>
      </w:r>
      <w:r w:rsidR="005C5AB0">
        <w:rPr>
          <w:sz w:val="22"/>
          <w:szCs w:val="22"/>
          <w:lang w:val="bs-Latn-BA"/>
        </w:rPr>
        <w:t>;</w:t>
      </w:r>
    </w:p>
    <w:p w:rsidR="00E3466A" w:rsidRPr="00BE66EB" w:rsidRDefault="00E3466A" w:rsidP="005526BB">
      <w:pPr>
        <w:pStyle w:val="ListParagraph"/>
        <w:numPr>
          <w:ilvl w:val="0"/>
          <w:numId w:val="27"/>
        </w:numPr>
        <w:rPr>
          <w:sz w:val="22"/>
          <w:szCs w:val="22"/>
        </w:rPr>
      </w:pPr>
      <w:r w:rsidRPr="00BE66EB">
        <w:rPr>
          <w:sz w:val="22"/>
          <w:szCs w:val="22"/>
        </w:rPr>
        <w:t>Korisnici psihoaktivnih su</w:t>
      </w:r>
      <w:r w:rsidR="00DD46F3">
        <w:rPr>
          <w:sz w:val="22"/>
          <w:szCs w:val="22"/>
        </w:rPr>
        <w:t>p</w:t>
      </w:r>
      <w:r w:rsidRPr="00BE66EB">
        <w:rPr>
          <w:sz w:val="22"/>
          <w:szCs w:val="22"/>
        </w:rPr>
        <w:t>stanci</w:t>
      </w:r>
      <w:r w:rsidR="005C5AB0">
        <w:rPr>
          <w:sz w:val="22"/>
          <w:szCs w:val="22"/>
        </w:rPr>
        <w:t>;</w:t>
      </w:r>
    </w:p>
    <w:p w:rsidR="00E3466A" w:rsidRPr="00BE66EB" w:rsidRDefault="00E3466A" w:rsidP="005526BB">
      <w:pPr>
        <w:pStyle w:val="ListParagraph"/>
        <w:numPr>
          <w:ilvl w:val="0"/>
          <w:numId w:val="27"/>
        </w:numPr>
        <w:rPr>
          <w:sz w:val="22"/>
          <w:szCs w:val="22"/>
        </w:rPr>
      </w:pPr>
      <w:r w:rsidRPr="00BE66EB">
        <w:rPr>
          <w:sz w:val="22"/>
          <w:szCs w:val="22"/>
        </w:rPr>
        <w:t>Bivši zatvorenici</w:t>
      </w:r>
      <w:r w:rsidR="005C5AB0">
        <w:rPr>
          <w:sz w:val="22"/>
          <w:szCs w:val="22"/>
        </w:rPr>
        <w:t>.</w:t>
      </w:r>
    </w:p>
    <w:p w:rsidR="00591D9F" w:rsidRDefault="00591D9F" w:rsidP="005526BB">
      <w:pPr>
        <w:jc w:val="both"/>
        <w:rPr>
          <w:bCs/>
          <w:sz w:val="22"/>
          <w:szCs w:val="22"/>
        </w:rPr>
      </w:pPr>
    </w:p>
    <w:p w:rsidR="00E3466A" w:rsidRDefault="006C33E0" w:rsidP="005526BB">
      <w:pPr>
        <w:jc w:val="both"/>
        <w:rPr>
          <w:bCs/>
          <w:sz w:val="22"/>
          <w:szCs w:val="22"/>
        </w:rPr>
      </w:pPr>
      <w:r>
        <w:rPr>
          <w:bCs/>
          <w:sz w:val="22"/>
          <w:szCs w:val="22"/>
        </w:rPr>
        <w:t xml:space="preserve">Navedene </w:t>
      </w:r>
      <w:r w:rsidR="00E3466A">
        <w:rPr>
          <w:bCs/>
          <w:sz w:val="22"/>
          <w:szCs w:val="22"/>
        </w:rPr>
        <w:t>grupe treba uzeti u obzir pri kreiranju i sprovođenju mjera aktivne politike zapošljavanja.</w:t>
      </w:r>
    </w:p>
    <w:p w:rsidR="00591D9F" w:rsidRDefault="00591D9F" w:rsidP="005526BB">
      <w:pPr>
        <w:jc w:val="both"/>
        <w:rPr>
          <w:bCs/>
          <w:sz w:val="22"/>
          <w:szCs w:val="22"/>
        </w:rPr>
      </w:pPr>
    </w:p>
    <w:p w:rsidR="0044632A" w:rsidRPr="0027238D" w:rsidRDefault="00BC319B" w:rsidP="005526BB">
      <w:pPr>
        <w:pStyle w:val="Heading2"/>
        <w:spacing w:before="0"/>
        <w:rPr>
          <w:rFonts w:cs="Arial"/>
        </w:rPr>
      </w:pPr>
      <w:bookmarkStart w:id="77" w:name="_Toc44873769"/>
      <w:bookmarkStart w:id="78" w:name="_Toc52644735"/>
      <w:bookmarkStart w:id="79" w:name="_Toc58581881"/>
      <w:bookmarkStart w:id="80" w:name="_Toc61289787"/>
      <w:bookmarkStart w:id="81" w:name="_Toc63099502"/>
      <w:r w:rsidRPr="00D00515">
        <w:rPr>
          <w:rFonts w:cs="Arial"/>
        </w:rPr>
        <w:t>3.8 Zaključak</w:t>
      </w:r>
      <w:bookmarkEnd w:id="77"/>
      <w:bookmarkEnd w:id="78"/>
      <w:bookmarkEnd w:id="79"/>
      <w:bookmarkEnd w:id="80"/>
      <w:bookmarkEnd w:id="81"/>
    </w:p>
    <w:p w:rsidR="00B57797" w:rsidRDefault="00B57797" w:rsidP="005526BB">
      <w:pPr>
        <w:jc w:val="both"/>
        <w:rPr>
          <w:color w:val="000000" w:themeColor="text1"/>
          <w:sz w:val="22"/>
          <w:szCs w:val="22"/>
        </w:rPr>
      </w:pPr>
    </w:p>
    <w:p w:rsidR="004436ED" w:rsidRPr="00707A34" w:rsidRDefault="004436ED" w:rsidP="005526BB">
      <w:pPr>
        <w:jc w:val="both"/>
        <w:rPr>
          <w:color w:val="000000" w:themeColor="text1"/>
          <w:sz w:val="22"/>
          <w:szCs w:val="22"/>
        </w:rPr>
      </w:pPr>
      <w:r w:rsidRPr="00707A34">
        <w:rPr>
          <w:color w:val="000000" w:themeColor="text1"/>
          <w:sz w:val="22"/>
          <w:szCs w:val="22"/>
        </w:rPr>
        <w:t>Podgorica, kao glavni grad, predstavlja administ</w:t>
      </w:r>
      <w:r w:rsidR="005E3980">
        <w:rPr>
          <w:color w:val="000000" w:themeColor="text1"/>
          <w:sz w:val="22"/>
          <w:szCs w:val="22"/>
        </w:rPr>
        <w:t>r</w:t>
      </w:r>
      <w:r w:rsidRPr="00707A34">
        <w:rPr>
          <w:color w:val="000000" w:themeColor="text1"/>
          <w:sz w:val="22"/>
          <w:szCs w:val="22"/>
        </w:rPr>
        <w:t>ativni i privred</w:t>
      </w:r>
      <w:r w:rsidR="005E3980" w:rsidRPr="00707A34">
        <w:rPr>
          <w:color w:val="000000" w:themeColor="text1"/>
          <w:sz w:val="22"/>
          <w:szCs w:val="22"/>
        </w:rPr>
        <w:t>n</w:t>
      </w:r>
      <w:r w:rsidRPr="00707A34">
        <w:rPr>
          <w:color w:val="000000" w:themeColor="text1"/>
          <w:sz w:val="22"/>
          <w:szCs w:val="22"/>
        </w:rPr>
        <w:t xml:space="preserve">i centar Crne Gore. Demografsku sliku karakteriše rast broja stanovnika uz pozitivan prirodni priraštaj i stalne imigracije stanovništva iz ostalih djelova Crne Gore, posebno iz Sjevernog regiona. Priliv mladog stanovništva daje velike prednosti i potencijal za ekonomski razvoj grada. Takođe, </w:t>
      </w:r>
      <w:r w:rsidR="006C33E0">
        <w:rPr>
          <w:color w:val="000000" w:themeColor="text1"/>
          <w:sz w:val="22"/>
          <w:szCs w:val="22"/>
        </w:rPr>
        <w:t xml:space="preserve">bogati </w:t>
      </w:r>
      <w:r w:rsidR="006C33E0" w:rsidRPr="00707A34">
        <w:rPr>
          <w:color w:val="000000" w:themeColor="text1"/>
          <w:sz w:val="22"/>
          <w:szCs w:val="22"/>
        </w:rPr>
        <w:t xml:space="preserve"> </w:t>
      </w:r>
      <w:r w:rsidRPr="00707A34">
        <w:rPr>
          <w:color w:val="000000" w:themeColor="text1"/>
          <w:sz w:val="22"/>
          <w:szCs w:val="22"/>
        </w:rPr>
        <w:t xml:space="preserve">privredni potencijali predstavljaju značajan faktor razvoja. </w:t>
      </w:r>
    </w:p>
    <w:p w:rsidR="006C33E0" w:rsidRDefault="006C33E0" w:rsidP="005526BB">
      <w:pPr>
        <w:jc w:val="both"/>
        <w:rPr>
          <w:color w:val="000000" w:themeColor="text1"/>
          <w:sz w:val="22"/>
          <w:szCs w:val="22"/>
        </w:rPr>
      </w:pPr>
    </w:p>
    <w:p w:rsidR="005526BB" w:rsidRDefault="004436ED" w:rsidP="005526BB">
      <w:pPr>
        <w:jc w:val="both"/>
        <w:rPr>
          <w:color w:val="000000" w:themeColor="text1"/>
          <w:sz w:val="22"/>
          <w:szCs w:val="22"/>
        </w:rPr>
      </w:pPr>
      <w:r w:rsidRPr="00707A34">
        <w:rPr>
          <w:color w:val="000000" w:themeColor="text1"/>
          <w:sz w:val="22"/>
          <w:szCs w:val="22"/>
        </w:rPr>
        <w:t>Tokom prethodnog perioda, broj zaposlenih u Podgorici je bilježio stalan rast, tako da je broj zaposlenih u 2019. bio na niovu od 93</w:t>
      </w:r>
      <w:r w:rsidR="006C33E0">
        <w:rPr>
          <w:color w:val="000000" w:themeColor="text1"/>
          <w:sz w:val="22"/>
          <w:szCs w:val="22"/>
        </w:rPr>
        <w:t>.</w:t>
      </w:r>
      <w:r w:rsidRPr="00707A34">
        <w:rPr>
          <w:color w:val="000000" w:themeColor="text1"/>
          <w:sz w:val="22"/>
          <w:szCs w:val="22"/>
        </w:rPr>
        <w:t xml:space="preserve">762, što predstavlja nešto ispod polovine ukupne zaposlenosti u Crnoj Gori. Međutim, u strukturi zaposlenosti sa stanovišta sektora djelatnosti, dominira trgovina. </w:t>
      </w:r>
    </w:p>
    <w:p w:rsidR="005526BB" w:rsidRDefault="005526BB" w:rsidP="005526BB">
      <w:pPr>
        <w:jc w:val="both"/>
        <w:rPr>
          <w:color w:val="000000" w:themeColor="text1"/>
          <w:sz w:val="22"/>
          <w:szCs w:val="22"/>
        </w:rPr>
      </w:pPr>
    </w:p>
    <w:p w:rsidR="004436ED" w:rsidRPr="00707A34" w:rsidRDefault="004436ED" w:rsidP="005526BB">
      <w:pPr>
        <w:jc w:val="both"/>
        <w:rPr>
          <w:color w:val="000000" w:themeColor="text1"/>
          <w:sz w:val="22"/>
          <w:szCs w:val="22"/>
        </w:rPr>
      </w:pPr>
      <w:r w:rsidRPr="00707A34">
        <w:rPr>
          <w:color w:val="000000" w:themeColor="text1"/>
          <w:sz w:val="22"/>
          <w:szCs w:val="22"/>
        </w:rPr>
        <w:t xml:space="preserve">Nedovoljna diversifikovanost privrede u pogledu zapošljavanja može predstavljati ograničavajući faktor u poboljšanju stanja na lokalnom tržištu rada. Dominantan broj zaposlenih u sektoru </w:t>
      </w:r>
      <w:r w:rsidRPr="00707A34">
        <w:rPr>
          <w:color w:val="000000" w:themeColor="text1"/>
          <w:sz w:val="22"/>
          <w:szCs w:val="22"/>
        </w:rPr>
        <w:lastRenderedPageBreak/>
        <w:t xml:space="preserve">trgovine, pomoćnim uslužnim djelatnostima i građevinarstvu su uticali na neznatan nominalni rast zarada u desetogodišnjem periodu. </w:t>
      </w:r>
    </w:p>
    <w:p w:rsidR="005526BB" w:rsidRDefault="005526BB" w:rsidP="005526BB">
      <w:pPr>
        <w:jc w:val="both"/>
        <w:rPr>
          <w:color w:val="000000" w:themeColor="text1"/>
          <w:sz w:val="22"/>
          <w:szCs w:val="22"/>
        </w:rPr>
      </w:pPr>
    </w:p>
    <w:p w:rsidR="001E0928" w:rsidRDefault="004436ED" w:rsidP="005526BB">
      <w:pPr>
        <w:jc w:val="both"/>
        <w:rPr>
          <w:color w:val="000000" w:themeColor="text1"/>
          <w:sz w:val="22"/>
          <w:szCs w:val="22"/>
        </w:rPr>
      </w:pPr>
      <w:r w:rsidRPr="00707A34">
        <w:rPr>
          <w:color w:val="000000" w:themeColor="text1"/>
          <w:sz w:val="22"/>
          <w:szCs w:val="22"/>
        </w:rPr>
        <w:t xml:space="preserve">Povoljna ekonomska kretanja i pozitivni trendovi na tržištu rada su uticali na smanjenje nezaposlenosti tokom perioda od 2017. do 2019. </w:t>
      </w:r>
      <w:r w:rsidR="006C33E0">
        <w:rPr>
          <w:color w:val="000000" w:themeColor="text1"/>
          <w:sz w:val="22"/>
          <w:szCs w:val="22"/>
        </w:rPr>
        <w:t xml:space="preserve">godine. </w:t>
      </w:r>
      <w:r w:rsidRPr="00707A34">
        <w:rPr>
          <w:color w:val="000000" w:themeColor="text1"/>
          <w:sz w:val="22"/>
          <w:szCs w:val="22"/>
        </w:rPr>
        <w:t>Ukupan broj nezaposlenih je u 2019. bio na niv</w:t>
      </w:r>
      <w:r w:rsidR="006C33E0">
        <w:rPr>
          <w:color w:val="000000" w:themeColor="text1"/>
          <w:sz w:val="22"/>
          <w:szCs w:val="22"/>
        </w:rPr>
        <w:t>o</w:t>
      </w:r>
      <w:r w:rsidRPr="00707A34">
        <w:rPr>
          <w:color w:val="000000" w:themeColor="text1"/>
          <w:sz w:val="22"/>
          <w:szCs w:val="22"/>
        </w:rPr>
        <w:t>u od 7</w:t>
      </w:r>
      <w:r w:rsidR="006C33E0">
        <w:rPr>
          <w:color w:val="000000" w:themeColor="text1"/>
          <w:sz w:val="22"/>
          <w:szCs w:val="22"/>
        </w:rPr>
        <w:t>.</w:t>
      </w:r>
      <w:r w:rsidRPr="00707A34">
        <w:rPr>
          <w:color w:val="000000" w:themeColor="text1"/>
          <w:sz w:val="22"/>
          <w:szCs w:val="22"/>
        </w:rPr>
        <w:t xml:space="preserve">230. Međutim, iako je lokalno </w:t>
      </w:r>
      <w:r w:rsidR="00DD46F3" w:rsidRPr="00707A34">
        <w:rPr>
          <w:color w:val="000000" w:themeColor="text1"/>
          <w:sz w:val="22"/>
          <w:szCs w:val="22"/>
        </w:rPr>
        <w:t>tržišt</w:t>
      </w:r>
      <w:r w:rsidR="00DD46F3">
        <w:rPr>
          <w:color w:val="000000" w:themeColor="text1"/>
          <w:sz w:val="22"/>
          <w:szCs w:val="22"/>
        </w:rPr>
        <w:t>e</w:t>
      </w:r>
      <w:r w:rsidR="00DD46F3" w:rsidRPr="00707A34">
        <w:rPr>
          <w:color w:val="000000" w:themeColor="text1"/>
          <w:sz w:val="22"/>
          <w:szCs w:val="22"/>
        </w:rPr>
        <w:t xml:space="preserve"> </w:t>
      </w:r>
      <w:r w:rsidRPr="00707A34">
        <w:rPr>
          <w:color w:val="000000" w:themeColor="text1"/>
          <w:sz w:val="22"/>
          <w:szCs w:val="22"/>
        </w:rPr>
        <w:t>rada dinamično i ima brojne prednosti i značajan potencijal,  Podgorica je takođe suočena sa brojnim izazovima tržišta rada. Prije svega, zabilježeno je značajnije učešće žena u ukupnoj nezaposlenosti (ali i dugoročnoj nezaposlenosti) što ukazuje na potrebu kreiranja i sprovođenja politika i programa u cilju povećanja zapošljivosti ove kategorije nezaposlenih. Takođe, tržište rada katakteriše visoko učešće niskokvalifikovanih nezaposlenih u ukupnoj nezaposlenosti</w:t>
      </w:r>
      <w:r w:rsidR="006C33E0">
        <w:rPr>
          <w:color w:val="000000" w:themeColor="text1"/>
          <w:sz w:val="22"/>
          <w:szCs w:val="22"/>
        </w:rPr>
        <w:t>,</w:t>
      </w:r>
      <w:r w:rsidRPr="00707A34">
        <w:rPr>
          <w:color w:val="000000" w:themeColor="text1"/>
          <w:sz w:val="22"/>
          <w:szCs w:val="22"/>
        </w:rPr>
        <w:t xml:space="preserve"> što predstavlja jedan od značajnih problema i izazova. </w:t>
      </w:r>
    </w:p>
    <w:p w:rsidR="001E0928" w:rsidRDefault="001E0928" w:rsidP="005526BB">
      <w:pPr>
        <w:jc w:val="both"/>
        <w:rPr>
          <w:color w:val="000000" w:themeColor="text1"/>
          <w:sz w:val="22"/>
          <w:szCs w:val="22"/>
        </w:rPr>
      </w:pPr>
    </w:p>
    <w:p w:rsidR="004436ED" w:rsidRPr="00707A34" w:rsidRDefault="004436ED" w:rsidP="005526BB">
      <w:pPr>
        <w:jc w:val="both"/>
        <w:rPr>
          <w:color w:val="000000" w:themeColor="text1"/>
          <w:sz w:val="22"/>
          <w:szCs w:val="22"/>
        </w:rPr>
      </w:pPr>
      <w:r w:rsidRPr="00707A34">
        <w:rPr>
          <w:color w:val="000000" w:themeColor="text1"/>
          <w:sz w:val="22"/>
          <w:szCs w:val="22"/>
        </w:rPr>
        <w:t xml:space="preserve">Nedovoljna tražnja za takvim profilima nezaposlenih nameće potrebu definisanja mjera zapošljavanja u cilju osposobljavanja i sticanja dodatnih vještina i znanja koja su tražena na tržištu. Sa stanovišta obrazovne strukture, izazov predstavljaju i visokoobrazovani, jer tržište rada nije u stanju da apsorbuje priliv visokoobrazovanog kadra. </w:t>
      </w:r>
    </w:p>
    <w:p w:rsidR="005526BB" w:rsidRDefault="005526BB" w:rsidP="005526BB">
      <w:pPr>
        <w:jc w:val="both"/>
        <w:rPr>
          <w:color w:val="000000" w:themeColor="text1"/>
          <w:sz w:val="22"/>
          <w:szCs w:val="22"/>
        </w:rPr>
      </w:pPr>
    </w:p>
    <w:p w:rsidR="004436ED" w:rsidRPr="00707A34" w:rsidRDefault="004436ED" w:rsidP="005526BB">
      <w:pPr>
        <w:jc w:val="both"/>
        <w:rPr>
          <w:color w:val="000000" w:themeColor="text1"/>
          <w:sz w:val="22"/>
          <w:szCs w:val="22"/>
        </w:rPr>
      </w:pPr>
      <w:r w:rsidRPr="00707A34">
        <w:rPr>
          <w:color w:val="000000" w:themeColor="text1"/>
          <w:sz w:val="22"/>
          <w:szCs w:val="22"/>
        </w:rPr>
        <w:t>Od ukupnog broja nezaposlenih u Podgorici, više od 40% je bez radnog staža. Više od četvrtine ukupne nezap</w:t>
      </w:r>
      <w:r w:rsidR="001E0928">
        <w:rPr>
          <w:color w:val="000000" w:themeColor="text1"/>
          <w:sz w:val="22"/>
          <w:szCs w:val="22"/>
        </w:rPr>
        <w:t>o</w:t>
      </w:r>
      <w:r w:rsidRPr="00707A34">
        <w:rPr>
          <w:color w:val="000000" w:themeColor="text1"/>
          <w:sz w:val="22"/>
          <w:szCs w:val="22"/>
        </w:rPr>
        <w:t>slenosti su mladi ispod 30 godina, dok je isti procenat starijih od 50 godina. U tom smislu je neophodno definisanje politika za različite kateg</w:t>
      </w:r>
      <w:r w:rsidR="001E0928">
        <w:rPr>
          <w:color w:val="000000" w:themeColor="text1"/>
          <w:sz w:val="22"/>
          <w:szCs w:val="22"/>
        </w:rPr>
        <w:t>o</w:t>
      </w:r>
      <w:r w:rsidRPr="00707A34">
        <w:rPr>
          <w:color w:val="000000" w:themeColor="text1"/>
          <w:sz w:val="22"/>
          <w:szCs w:val="22"/>
        </w:rPr>
        <w:t xml:space="preserve">rije nezaposlenih, </w:t>
      </w:r>
      <w:r w:rsidR="00DD46F3" w:rsidRPr="00707A34">
        <w:rPr>
          <w:color w:val="000000" w:themeColor="text1"/>
          <w:sz w:val="22"/>
          <w:szCs w:val="22"/>
        </w:rPr>
        <w:t>prilagođen</w:t>
      </w:r>
      <w:r w:rsidR="00DD46F3">
        <w:rPr>
          <w:color w:val="000000" w:themeColor="text1"/>
          <w:sz w:val="22"/>
          <w:szCs w:val="22"/>
        </w:rPr>
        <w:t>o</w:t>
      </w:r>
      <w:r w:rsidR="00DD46F3" w:rsidRPr="00707A34">
        <w:rPr>
          <w:color w:val="000000" w:themeColor="text1"/>
          <w:sz w:val="22"/>
          <w:szCs w:val="22"/>
        </w:rPr>
        <w:t xml:space="preserve"> </w:t>
      </w:r>
      <w:r w:rsidRPr="00707A34">
        <w:rPr>
          <w:color w:val="000000" w:themeColor="text1"/>
          <w:sz w:val="22"/>
          <w:szCs w:val="22"/>
        </w:rPr>
        <w:t xml:space="preserve">specifičnim grupama. </w:t>
      </w:r>
    </w:p>
    <w:p w:rsidR="005526BB" w:rsidRDefault="005526BB" w:rsidP="005526BB">
      <w:pPr>
        <w:jc w:val="both"/>
        <w:rPr>
          <w:color w:val="000000" w:themeColor="text1"/>
          <w:sz w:val="22"/>
          <w:szCs w:val="22"/>
        </w:rPr>
      </w:pPr>
    </w:p>
    <w:p w:rsidR="001E0928" w:rsidRDefault="004436ED" w:rsidP="005526BB">
      <w:pPr>
        <w:jc w:val="both"/>
        <w:rPr>
          <w:sz w:val="22"/>
          <w:szCs w:val="22"/>
        </w:rPr>
      </w:pPr>
      <w:r w:rsidRPr="00707A34">
        <w:rPr>
          <w:color w:val="000000" w:themeColor="text1"/>
          <w:sz w:val="22"/>
          <w:szCs w:val="22"/>
        </w:rPr>
        <w:t xml:space="preserve">U cilju poboljšanja stanja na lokalnom tržištu rada, politike i mjere zapošljavanja bi trebalo usmjeriti na najosjetljivije grupe na tržištu rada, gdje je poseban akcenat potrebno staviti na nezaposlene žene, dugoročno nezaposlene, niskokvalifikovane, nezaposlene bez radnog staža i nezaposlene starije dobi kako bi se uključili na tržište rada. </w:t>
      </w:r>
      <w:r w:rsidR="001E0928">
        <w:rPr>
          <w:sz w:val="22"/>
          <w:szCs w:val="22"/>
        </w:rPr>
        <w:t>Pri tom je potrebno naglasiti da je za te grupe nezaposlenih potrebno inovirati nove pristupe i mjere aktivne politike zapošljavanja koje treba da targetiraju kako nedostatak adekvatnih znanja, vještina i često radnih navika, tako i njihove određene lične karakteristike, koje su najčešće i razlog neaktivnosti.</w:t>
      </w:r>
    </w:p>
    <w:p w:rsidR="00767812" w:rsidRDefault="00767812" w:rsidP="005526BB">
      <w:pPr>
        <w:jc w:val="both"/>
        <w:rPr>
          <w:color w:val="000000" w:themeColor="text1"/>
          <w:sz w:val="22"/>
          <w:szCs w:val="22"/>
        </w:rPr>
      </w:pPr>
    </w:p>
    <w:p w:rsidR="004436ED" w:rsidRDefault="004436ED" w:rsidP="005526BB">
      <w:pPr>
        <w:jc w:val="both"/>
        <w:rPr>
          <w:color w:val="000000" w:themeColor="text1"/>
          <w:sz w:val="22"/>
          <w:szCs w:val="22"/>
        </w:rPr>
      </w:pPr>
      <w:r w:rsidRPr="00707A34">
        <w:rPr>
          <w:color w:val="000000" w:themeColor="text1"/>
          <w:sz w:val="22"/>
          <w:szCs w:val="22"/>
        </w:rPr>
        <w:t>Podsticanje preduzetništva</w:t>
      </w:r>
      <w:r w:rsidR="00767812">
        <w:rPr>
          <w:color w:val="000000" w:themeColor="text1"/>
          <w:sz w:val="22"/>
          <w:szCs w:val="22"/>
        </w:rPr>
        <w:t>, uključujući socijalnog preduzetništva</w:t>
      </w:r>
      <w:r w:rsidRPr="00707A34">
        <w:rPr>
          <w:color w:val="000000" w:themeColor="text1"/>
          <w:sz w:val="22"/>
          <w:szCs w:val="22"/>
        </w:rPr>
        <w:t xml:space="preserve"> predstavlja jedan od značajnih programa u cilju </w:t>
      </w:r>
      <w:r w:rsidR="00AB3C66">
        <w:rPr>
          <w:color w:val="000000" w:themeColor="text1"/>
          <w:sz w:val="22"/>
          <w:szCs w:val="22"/>
        </w:rPr>
        <w:t xml:space="preserve">radnog </w:t>
      </w:r>
      <w:r w:rsidR="00D53E04">
        <w:rPr>
          <w:color w:val="000000" w:themeColor="text1"/>
          <w:sz w:val="22"/>
          <w:szCs w:val="22"/>
        </w:rPr>
        <w:t xml:space="preserve">angažmana </w:t>
      </w:r>
      <w:r w:rsidR="00AB3C66" w:rsidRPr="00707A34">
        <w:rPr>
          <w:color w:val="000000" w:themeColor="text1"/>
          <w:sz w:val="22"/>
          <w:szCs w:val="22"/>
        </w:rPr>
        <w:t>teže zapošljivih lica</w:t>
      </w:r>
      <w:r w:rsidR="00AB3C66">
        <w:rPr>
          <w:color w:val="000000" w:themeColor="text1"/>
          <w:sz w:val="22"/>
          <w:szCs w:val="22"/>
        </w:rPr>
        <w:t xml:space="preserve"> i </w:t>
      </w:r>
      <w:r w:rsidR="00DD46F3" w:rsidRPr="00707A34">
        <w:rPr>
          <w:color w:val="000000" w:themeColor="text1"/>
          <w:sz w:val="22"/>
          <w:szCs w:val="22"/>
        </w:rPr>
        <w:t>smanjen</w:t>
      </w:r>
      <w:r w:rsidR="00073BDA">
        <w:rPr>
          <w:color w:val="000000" w:themeColor="text1"/>
          <w:sz w:val="22"/>
          <w:szCs w:val="22"/>
        </w:rPr>
        <w:t>j</w:t>
      </w:r>
      <w:r w:rsidR="00DD46F3">
        <w:rPr>
          <w:color w:val="000000" w:themeColor="text1"/>
          <w:sz w:val="22"/>
          <w:szCs w:val="22"/>
        </w:rPr>
        <w:t>a</w:t>
      </w:r>
      <w:r w:rsidR="00DD46F3" w:rsidRPr="00707A34">
        <w:rPr>
          <w:color w:val="000000" w:themeColor="text1"/>
          <w:sz w:val="22"/>
          <w:szCs w:val="22"/>
        </w:rPr>
        <w:t xml:space="preserve"> </w:t>
      </w:r>
      <w:r w:rsidRPr="00707A34">
        <w:rPr>
          <w:color w:val="000000" w:themeColor="text1"/>
          <w:sz w:val="22"/>
          <w:szCs w:val="22"/>
        </w:rPr>
        <w:t>broja nezaposlenih</w:t>
      </w:r>
      <w:r w:rsidR="00AB3C66">
        <w:rPr>
          <w:color w:val="000000" w:themeColor="text1"/>
          <w:sz w:val="22"/>
          <w:szCs w:val="22"/>
        </w:rPr>
        <w:t>.</w:t>
      </w:r>
    </w:p>
    <w:p w:rsidR="005526BB" w:rsidRDefault="005526BB" w:rsidP="00DE28B8">
      <w:pPr>
        <w:rPr>
          <w:rFonts w:cs="Arial"/>
          <w:iCs/>
          <w:color w:val="000000" w:themeColor="text1"/>
          <w:szCs w:val="20"/>
        </w:rPr>
      </w:pPr>
    </w:p>
    <w:p w:rsidR="001E0928" w:rsidRPr="003600CC" w:rsidRDefault="001E0928" w:rsidP="001E0928">
      <w:pPr>
        <w:jc w:val="both"/>
        <w:rPr>
          <w:sz w:val="22"/>
          <w:szCs w:val="22"/>
        </w:rPr>
      </w:pPr>
      <w:r>
        <w:rPr>
          <w:sz w:val="22"/>
          <w:szCs w:val="22"/>
        </w:rPr>
        <w:t xml:space="preserve">Veću pažnju je u budućnosti potrebno posvetiti obrazovanju i usavršavanju radne snage, jer su znanja i vještine uslov socio-ekonomskog razvoja svake opštine. Glavnom gradu Podgorica su naročito potrebna vrhunska tehnološka znanja </w:t>
      </w:r>
      <w:r w:rsidR="00C858FE">
        <w:rPr>
          <w:sz w:val="22"/>
          <w:szCs w:val="22"/>
        </w:rPr>
        <w:t xml:space="preserve">i </w:t>
      </w:r>
      <w:r>
        <w:rPr>
          <w:sz w:val="22"/>
          <w:szCs w:val="22"/>
        </w:rPr>
        <w:t>I</w:t>
      </w:r>
      <w:r w:rsidR="00073BDA">
        <w:rPr>
          <w:sz w:val="22"/>
          <w:szCs w:val="22"/>
        </w:rPr>
        <w:t>C</w:t>
      </w:r>
      <w:r>
        <w:rPr>
          <w:sz w:val="22"/>
          <w:szCs w:val="22"/>
        </w:rPr>
        <w:t>T vještine</w:t>
      </w:r>
      <w:r w:rsidR="00D53E04">
        <w:rPr>
          <w:sz w:val="22"/>
          <w:szCs w:val="22"/>
        </w:rPr>
        <w:t xml:space="preserve">, kao </w:t>
      </w:r>
      <w:r w:rsidR="001E0F37">
        <w:rPr>
          <w:sz w:val="22"/>
          <w:szCs w:val="22"/>
        </w:rPr>
        <w:t xml:space="preserve">i zelenih vještina i kompetencija, </w:t>
      </w:r>
      <w:r>
        <w:rPr>
          <w:sz w:val="22"/>
          <w:szCs w:val="22"/>
        </w:rPr>
        <w:t xml:space="preserve"> da bi se strateški ciljevi opštine ostvarili. Prilika za inoviranje novih pristupa i novih programa nudi se u okviru EU-IPA programa. </w:t>
      </w:r>
    </w:p>
    <w:p w:rsidR="00C7285E" w:rsidRDefault="00C7285E" w:rsidP="00DE28B8">
      <w:pPr>
        <w:rPr>
          <w:rFonts w:cs="Arial"/>
          <w:iCs/>
          <w:color w:val="000000" w:themeColor="text1"/>
          <w:szCs w:val="20"/>
        </w:rPr>
      </w:pPr>
    </w:p>
    <w:p w:rsidR="009F3494" w:rsidRDefault="009F3494" w:rsidP="00DE28B8">
      <w:pPr>
        <w:rPr>
          <w:rFonts w:cs="Arial"/>
          <w:iCs/>
          <w:color w:val="000000" w:themeColor="text1"/>
          <w:szCs w:val="20"/>
        </w:rPr>
      </w:pPr>
      <w:r w:rsidRPr="0027238D">
        <w:rPr>
          <w:rFonts w:cs="Arial"/>
          <w:iCs/>
          <w:color w:val="000000" w:themeColor="text1"/>
          <w:szCs w:val="20"/>
        </w:rPr>
        <w:t>Grafik</w:t>
      </w:r>
      <w:r w:rsidR="00667C37">
        <w:rPr>
          <w:rFonts w:cs="Arial"/>
          <w:iCs/>
          <w:color w:val="000000" w:themeColor="text1"/>
          <w:szCs w:val="20"/>
        </w:rPr>
        <w:t xml:space="preserve"> 13</w:t>
      </w:r>
      <w:r w:rsidRPr="0027238D">
        <w:rPr>
          <w:rFonts w:cs="Arial"/>
          <w:iCs/>
          <w:color w:val="000000" w:themeColor="text1"/>
          <w:szCs w:val="20"/>
        </w:rPr>
        <w:t xml:space="preserve">: Odabrani indikatori za </w:t>
      </w:r>
      <w:r w:rsidR="00C20587">
        <w:rPr>
          <w:rFonts w:cs="Arial"/>
          <w:iCs/>
          <w:color w:val="000000" w:themeColor="text1"/>
          <w:szCs w:val="20"/>
        </w:rPr>
        <w:t>Glavni grad Podgorica</w:t>
      </w:r>
      <w:r w:rsidRPr="0027238D">
        <w:rPr>
          <w:rFonts w:cs="Arial"/>
          <w:iCs/>
          <w:color w:val="000000" w:themeColor="text1"/>
          <w:szCs w:val="20"/>
        </w:rPr>
        <w:t xml:space="preserve"> u odnosu na Crnu Goru (</w:t>
      </w:r>
      <w:r w:rsidR="00827A5C">
        <w:rPr>
          <w:rFonts w:cs="Arial"/>
          <w:iCs/>
          <w:color w:val="000000" w:themeColor="text1"/>
          <w:szCs w:val="20"/>
        </w:rPr>
        <w:t>2011</w:t>
      </w:r>
      <w:r w:rsidR="00425CA9" w:rsidRPr="0027238D">
        <w:rPr>
          <w:rFonts w:cs="Arial"/>
          <w:iCs/>
          <w:color w:val="000000" w:themeColor="text1"/>
          <w:szCs w:val="20"/>
        </w:rPr>
        <w:t>-2019)</w:t>
      </w:r>
    </w:p>
    <w:p w:rsidR="00385224" w:rsidRDefault="00385224" w:rsidP="00DE28B8">
      <w:pPr>
        <w:ind w:left="2832"/>
        <w:jc w:val="center"/>
        <w:rPr>
          <w:rFonts w:cs="Arial"/>
          <w:i/>
          <w:color w:val="000000" w:themeColor="text1"/>
          <w:sz w:val="18"/>
        </w:rPr>
      </w:pPr>
    </w:p>
    <w:p w:rsidR="00C7285E" w:rsidRDefault="00C7285E" w:rsidP="00C7285E">
      <w:pPr>
        <w:jc w:val="center"/>
        <w:rPr>
          <w:rFonts w:cs="Arial"/>
          <w:iCs/>
          <w:color w:val="000000" w:themeColor="text1"/>
          <w:szCs w:val="20"/>
        </w:rPr>
      </w:pPr>
      <w:r w:rsidRPr="00767812">
        <w:rPr>
          <w:noProof/>
          <w:shd w:val="clear" w:color="auto" w:fill="FFD966" w:themeFill="accent4" w:themeFillTint="99"/>
          <w:lang w:val="en-US"/>
        </w:rPr>
        <w:drawing>
          <wp:inline distT="0" distB="0" distL="0" distR="0">
            <wp:extent cx="5408930" cy="2224007"/>
            <wp:effectExtent l="0" t="0" r="127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F3494" w:rsidRPr="002047CF" w:rsidRDefault="009F3494" w:rsidP="00DE28B8">
      <w:pPr>
        <w:ind w:left="2832"/>
        <w:jc w:val="center"/>
        <w:rPr>
          <w:rFonts w:cs="Arial"/>
          <w:i/>
          <w:color w:val="000000" w:themeColor="text1"/>
          <w:sz w:val="18"/>
        </w:rPr>
      </w:pPr>
      <w:r w:rsidRPr="002047CF">
        <w:rPr>
          <w:rFonts w:cs="Arial"/>
          <w:i/>
          <w:color w:val="000000" w:themeColor="text1"/>
          <w:sz w:val="18"/>
        </w:rPr>
        <w:lastRenderedPageBreak/>
        <w:t>Izvor: MONSTAT, Ministarstvo rada i socijalnog staranja Crne Gore</w:t>
      </w:r>
      <w:r w:rsidR="00425CA9" w:rsidRPr="002047CF">
        <w:rPr>
          <w:rFonts w:cs="Arial"/>
          <w:i/>
          <w:color w:val="000000" w:themeColor="text1"/>
          <w:sz w:val="18"/>
        </w:rPr>
        <w:t>, ZZZCG</w:t>
      </w:r>
    </w:p>
    <w:p w:rsidR="00635308" w:rsidRDefault="00635308" w:rsidP="00DE28B8">
      <w:pPr>
        <w:rPr>
          <w:rFonts w:cs="Arial"/>
          <w:highlight w:val="yellow"/>
          <w:lang w:val="hr-HR"/>
        </w:rPr>
      </w:pPr>
    </w:p>
    <w:p w:rsidR="0074238C" w:rsidRDefault="0074238C" w:rsidP="00DE28B8">
      <w:pPr>
        <w:rPr>
          <w:rFonts w:cs="Arial"/>
          <w:highlight w:val="yellow"/>
          <w:lang w:val="hr-HR"/>
        </w:rPr>
      </w:pPr>
    </w:p>
    <w:p w:rsidR="002C4CEB" w:rsidRDefault="002C4CEB" w:rsidP="00767812">
      <w:pPr>
        <w:pStyle w:val="Heading1"/>
        <w:spacing w:before="0"/>
        <w:ind w:left="425" w:hanging="357"/>
        <w:rPr>
          <w:rFonts w:cs="Arial"/>
          <w:sz w:val="22"/>
          <w:szCs w:val="22"/>
          <w:lang w:val="hr-HR"/>
        </w:rPr>
      </w:pPr>
      <w:bookmarkStart w:id="82" w:name="_Toc61289788"/>
      <w:bookmarkStart w:id="83" w:name="_Toc63099503"/>
      <w:r w:rsidRPr="0064258E">
        <w:t>SWOT ANALIZA</w:t>
      </w:r>
      <w:bookmarkEnd w:id="82"/>
      <w:bookmarkEnd w:id="83"/>
    </w:p>
    <w:p w:rsidR="002C4CEB" w:rsidRDefault="002C4CEB" w:rsidP="00DE28B8">
      <w:pPr>
        <w:jc w:val="both"/>
        <w:rPr>
          <w:rFonts w:cs="Arial"/>
          <w:sz w:val="22"/>
          <w:szCs w:val="22"/>
          <w:lang w:val="hr-HR"/>
        </w:rPr>
      </w:pPr>
    </w:p>
    <w:p w:rsidR="006A3AA2" w:rsidRPr="002047CF" w:rsidRDefault="00414B77" w:rsidP="00B57797">
      <w:pPr>
        <w:jc w:val="both"/>
        <w:rPr>
          <w:rFonts w:cs="Arial"/>
          <w:sz w:val="22"/>
          <w:szCs w:val="22"/>
          <w:lang w:val="hr-HR"/>
        </w:rPr>
      </w:pPr>
      <w:r w:rsidRPr="002D6F62">
        <w:rPr>
          <w:rFonts w:cs="Arial"/>
          <w:sz w:val="22"/>
          <w:szCs w:val="22"/>
          <w:lang w:val="hr-HR"/>
        </w:rPr>
        <w:t>Lokalno tržište rada zavis</w:t>
      </w:r>
      <w:r w:rsidR="00216F69">
        <w:rPr>
          <w:rFonts w:cs="Arial"/>
          <w:sz w:val="22"/>
          <w:szCs w:val="22"/>
          <w:lang w:val="hr-HR"/>
        </w:rPr>
        <w:t>i</w:t>
      </w:r>
      <w:r w:rsidRPr="002D6F62">
        <w:rPr>
          <w:rFonts w:cs="Arial"/>
          <w:sz w:val="22"/>
          <w:szCs w:val="22"/>
          <w:lang w:val="hr-HR"/>
        </w:rPr>
        <w:t xml:space="preserve"> od </w:t>
      </w:r>
      <w:r w:rsidR="006A3AA2" w:rsidRPr="002D6F62">
        <w:rPr>
          <w:rFonts w:cs="Arial"/>
          <w:sz w:val="22"/>
          <w:szCs w:val="22"/>
          <w:lang w:val="hr-HR"/>
        </w:rPr>
        <w:t>okruženja koj</w:t>
      </w:r>
      <w:r w:rsidR="003868F1">
        <w:rPr>
          <w:rFonts w:cs="Arial"/>
          <w:sz w:val="22"/>
          <w:szCs w:val="22"/>
          <w:lang w:val="hr-HR"/>
        </w:rPr>
        <w:t>e</w:t>
      </w:r>
      <w:r w:rsidR="006A3AA2" w:rsidRPr="002D6F62">
        <w:rPr>
          <w:rFonts w:cs="Arial"/>
          <w:sz w:val="22"/>
          <w:szCs w:val="22"/>
          <w:lang w:val="hr-HR"/>
        </w:rPr>
        <w:t xml:space="preserve"> uti</w:t>
      </w:r>
      <w:r w:rsidR="000D3781">
        <w:rPr>
          <w:rFonts w:cs="Arial"/>
          <w:sz w:val="22"/>
          <w:szCs w:val="22"/>
          <w:lang w:val="hr-HR"/>
        </w:rPr>
        <w:t>č</w:t>
      </w:r>
      <w:r w:rsidR="006A3AA2" w:rsidRPr="002D6F62">
        <w:rPr>
          <w:rFonts w:cs="Arial"/>
          <w:sz w:val="22"/>
          <w:szCs w:val="22"/>
          <w:lang w:val="hr-HR"/>
        </w:rPr>
        <w:t xml:space="preserve">e na </w:t>
      </w:r>
      <w:r w:rsidRPr="002D6F62">
        <w:rPr>
          <w:rFonts w:cs="Arial"/>
          <w:sz w:val="22"/>
          <w:szCs w:val="22"/>
          <w:lang w:val="hr-HR"/>
        </w:rPr>
        <w:t xml:space="preserve">njegovo </w:t>
      </w:r>
      <w:r w:rsidR="006A3AA2" w:rsidRPr="002D6F62">
        <w:rPr>
          <w:rFonts w:cs="Arial"/>
          <w:sz w:val="22"/>
          <w:szCs w:val="22"/>
          <w:lang w:val="hr-HR"/>
        </w:rPr>
        <w:t>djelovanje</w:t>
      </w:r>
      <w:r w:rsidR="002D6F62" w:rsidRPr="002D6F62">
        <w:rPr>
          <w:rFonts w:cs="Arial"/>
          <w:sz w:val="22"/>
          <w:szCs w:val="22"/>
          <w:lang w:val="hr-HR"/>
        </w:rPr>
        <w:t>.</w:t>
      </w:r>
      <w:r w:rsidR="006A3AA2" w:rsidRPr="002D6F62">
        <w:rPr>
          <w:rFonts w:cs="Arial"/>
          <w:sz w:val="22"/>
          <w:szCs w:val="22"/>
          <w:lang w:val="hr-HR"/>
        </w:rPr>
        <w:t xml:space="preserve"> </w:t>
      </w:r>
      <w:r w:rsidR="009A2AEE" w:rsidRPr="002D6F62">
        <w:rPr>
          <w:rFonts w:cs="Arial"/>
          <w:sz w:val="22"/>
          <w:szCs w:val="22"/>
          <w:lang w:val="hr-HR"/>
        </w:rPr>
        <w:t>Da bi se</w:t>
      </w:r>
      <w:r w:rsidR="006A3AA2" w:rsidRPr="002D6F62">
        <w:rPr>
          <w:rFonts w:cs="Arial"/>
          <w:sz w:val="22"/>
          <w:szCs w:val="22"/>
          <w:lang w:val="hr-HR"/>
        </w:rPr>
        <w:t xml:space="preserve"> identifikova</w:t>
      </w:r>
      <w:r w:rsidR="009A2AEE" w:rsidRPr="002D6F62">
        <w:rPr>
          <w:rFonts w:cs="Arial"/>
          <w:sz w:val="22"/>
          <w:szCs w:val="22"/>
          <w:lang w:val="hr-HR"/>
        </w:rPr>
        <w:t>le</w:t>
      </w:r>
      <w:r w:rsidR="006A3AA2" w:rsidRPr="002D6F62">
        <w:rPr>
          <w:rFonts w:cs="Arial"/>
          <w:sz w:val="22"/>
          <w:szCs w:val="22"/>
          <w:lang w:val="hr-HR"/>
        </w:rPr>
        <w:t xml:space="preserve"> </w:t>
      </w:r>
      <w:r w:rsidR="006A3AA2" w:rsidRPr="002047CF">
        <w:rPr>
          <w:rFonts w:cs="Arial"/>
          <w:sz w:val="22"/>
          <w:szCs w:val="22"/>
          <w:lang w:val="hr-HR"/>
        </w:rPr>
        <w:t xml:space="preserve">prednosti i </w:t>
      </w:r>
      <w:r w:rsidR="002D6F62">
        <w:rPr>
          <w:rFonts w:cs="Arial"/>
          <w:sz w:val="22"/>
          <w:szCs w:val="22"/>
          <w:lang w:val="hr-HR"/>
        </w:rPr>
        <w:t>slabosti</w:t>
      </w:r>
      <w:r w:rsidR="006A3AA2" w:rsidRPr="002047CF">
        <w:rPr>
          <w:rFonts w:cs="Arial"/>
          <w:sz w:val="22"/>
          <w:szCs w:val="22"/>
          <w:lang w:val="hr-HR"/>
        </w:rPr>
        <w:t xml:space="preserve"> (unutrašnje okruženje) i mogućnosti i prijetnje (spoljno okruženje) koje uti</w:t>
      </w:r>
      <w:r w:rsidR="000D3781">
        <w:rPr>
          <w:rFonts w:cs="Arial"/>
          <w:sz w:val="22"/>
          <w:szCs w:val="22"/>
          <w:lang w:val="hr-HR"/>
        </w:rPr>
        <w:t>č</w:t>
      </w:r>
      <w:r w:rsidR="006A3AA2" w:rsidRPr="002047CF">
        <w:rPr>
          <w:rFonts w:cs="Arial"/>
          <w:sz w:val="22"/>
          <w:szCs w:val="22"/>
          <w:lang w:val="hr-HR"/>
        </w:rPr>
        <w:t>u na  lokalno tržište rada i radnu snagu</w:t>
      </w:r>
      <w:r w:rsidR="009A2AEE" w:rsidRPr="002047CF">
        <w:rPr>
          <w:rFonts w:cs="Arial"/>
          <w:sz w:val="22"/>
          <w:szCs w:val="22"/>
          <w:lang w:val="hr-HR"/>
        </w:rPr>
        <w:t xml:space="preserve"> kori</w:t>
      </w:r>
      <w:r w:rsidRPr="002047CF">
        <w:rPr>
          <w:rFonts w:cs="Arial"/>
          <w:sz w:val="22"/>
          <w:szCs w:val="22"/>
          <w:lang w:val="hr-HR"/>
        </w:rPr>
        <w:t>š</w:t>
      </w:r>
      <w:r w:rsidR="009A2AEE" w:rsidRPr="002047CF">
        <w:rPr>
          <w:rFonts w:cs="Arial"/>
          <w:sz w:val="22"/>
          <w:szCs w:val="22"/>
          <w:lang w:val="hr-HR"/>
        </w:rPr>
        <w:t>tena je metoda SWOT analize</w:t>
      </w:r>
      <w:r w:rsidR="006A3AA2" w:rsidRPr="002047CF">
        <w:rPr>
          <w:rFonts w:cs="Arial"/>
          <w:sz w:val="22"/>
          <w:szCs w:val="22"/>
          <w:lang w:val="hr-HR"/>
        </w:rPr>
        <w:t>.</w:t>
      </w:r>
    </w:p>
    <w:p w:rsidR="009A2AEE" w:rsidRPr="002047CF" w:rsidRDefault="009A2AEE" w:rsidP="00B57797">
      <w:pPr>
        <w:ind w:left="66"/>
        <w:jc w:val="both"/>
        <w:rPr>
          <w:rFonts w:cs="Arial"/>
          <w:sz w:val="22"/>
          <w:szCs w:val="22"/>
          <w:lang w:val="hr-HR"/>
        </w:rPr>
      </w:pPr>
    </w:p>
    <w:p w:rsidR="00E41036" w:rsidRPr="00E41036" w:rsidRDefault="006A3AA2" w:rsidP="00B57797">
      <w:pPr>
        <w:jc w:val="both"/>
        <w:rPr>
          <w:sz w:val="22"/>
          <w:szCs w:val="22"/>
        </w:rPr>
      </w:pPr>
      <w:r w:rsidRPr="00E41036">
        <w:rPr>
          <w:rFonts w:cs="Arial"/>
          <w:sz w:val="22"/>
          <w:szCs w:val="22"/>
          <w:lang w:val="hr-HR"/>
        </w:rPr>
        <w:t xml:space="preserve">U prvom </w:t>
      </w:r>
      <w:r w:rsidR="009A2AEE" w:rsidRPr="00E41036">
        <w:rPr>
          <w:rFonts w:cs="Arial"/>
          <w:sz w:val="22"/>
          <w:szCs w:val="22"/>
          <w:lang w:val="hr-HR"/>
        </w:rPr>
        <w:t>koraku</w:t>
      </w:r>
      <w:r w:rsidRPr="00E41036">
        <w:rPr>
          <w:rFonts w:cs="Arial"/>
          <w:sz w:val="22"/>
          <w:szCs w:val="22"/>
          <w:lang w:val="hr-HR"/>
        </w:rPr>
        <w:t xml:space="preserve"> urađena je SWOT analiza funkcionisanja  lokalnog tržišta rada.</w:t>
      </w:r>
      <w:r w:rsidR="000D3781">
        <w:rPr>
          <w:rFonts w:cs="Arial"/>
          <w:sz w:val="22"/>
          <w:szCs w:val="22"/>
          <w:lang w:val="hr-HR"/>
        </w:rPr>
        <w:t xml:space="preserve"> L</w:t>
      </w:r>
      <w:r w:rsidR="00E41036" w:rsidRPr="00E41036">
        <w:rPr>
          <w:rFonts w:cs="Arial"/>
          <w:sz w:val="22"/>
          <w:szCs w:val="22"/>
          <w:lang w:val="hr-HR"/>
        </w:rPr>
        <w:t xml:space="preserve">judski kapital </w:t>
      </w:r>
      <w:r w:rsidR="00414B77" w:rsidRPr="00E41036">
        <w:rPr>
          <w:rFonts w:cs="Arial"/>
          <w:sz w:val="22"/>
          <w:szCs w:val="22"/>
          <w:lang w:val="hr-HR"/>
        </w:rPr>
        <w:t xml:space="preserve"> </w:t>
      </w:r>
      <w:r w:rsidR="000D3781">
        <w:rPr>
          <w:rFonts w:cs="Arial"/>
          <w:sz w:val="22"/>
          <w:szCs w:val="22"/>
          <w:lang w:val="hr-HR"/>
        </w:rPr>
        <w:t xml:space="preserve">je </w:t>
      </w:r>
      <w:r w:rsidR="00414B77" w:rsidRPr="00E41036">
        <w:rPr>
          <w:rFonts w:cs="Arial"/>
          <w:sz w:val="22"/>
          <w:szCs w:val="22"/>
          <w:lang w:val="hr-HR"/>
        </w:rPr>
        <w:t>j</w:t>
      </w:r>
      <w:r w:rsidR="00332811" w:rsidRPr="00E41036">
        <w:rPr>
          <w:rFonts w:cs="Arial"/>
          <w:sz w:val="22"/>
          <w:szCs w:val="22"/>
          <w:lang w:val="hr-HR"/>
        </w:rPr>
        <w:t>ed</w:t>
      </w:r>
      <w:r w:rsidR="00414B77" w:rsidRPr="00E41036">
        <w:rPr>
          <w:rFonts w:cs="Arial"/>
          <w:sz w:val="22"/>
          <w:szCs w:val="22"/>
          <w:lang w:val="hr-HR"/>
        </w:rPr>
        <w:t>a</w:t>
      </w:r>
      <w:r w:rsidR="00332811" w:rsidRPr="00E41036">
        <w:rPr>
          <w:rFonts w:cs="Arial"/>
          <w:sz w:val="22"/>
          <w:szCs w:val="22"/>
          <w:lang w:val="hr-HR"/>
        </w:rPr>
        <w:t xml:space="preserve">n od najvažnijih faktora </w:t>
      </w:r>
      <w:r w:rsidR="00414B77" w:rsidRPr="00E41036">
        <w:rPr>
          <w:rFonts w:cs="Arial"/>
          <w:sz w:val="22"/>
          <w:szCs w:val="22"/>
          <w:lang w:val="hr-HR"/>
        </w:rPr>
        <w:t>uticaja n</w:t>
      </w:r>
      <w:r w:rsidR="00332811" w:rsidRPr="00E41036">
        <w:rPr>
          <w:rFonts w:cs="Arial"/>
          <w:sz w:val="22"/>
          <w:szCs w:val="22"/>
          <w:lang w:val="hr-HR"/>
        </w:rPr>
        <w:t xml:space="preserve">a </w:t>
      </w:r>
      <w:r w:rsidR="009A2AEE" w:rsidRPr="00E41036">
        <w:rPr>
          <w:rFonts w:cs="Arial"/>
          <w:sz w:val="22"/>
          <w:szCs w:val="22"/>
          <w:lang w:val="hr-HR"/>
        </w:rPr>
        <w:t xml:space="preserve">dalji </w:t>
      </w:r>
      <w:r w:rsidR="00332811" w:rsidRPr="00E41036">
        <w:rPr>
          <w:rFonts w:cs="Arial"/>
          <w:sz w:val="22"/>
          <w:szCs w:val="22"/>
          <w:lang w:val="hr-HR"/>
        </w:rPr>
        <w:t>socio-ekonomski razvoj opštine.</w:t>
      </w:r>
      <w:r w:rsidR="00E41036" w:rsidRPr="00E41036">
        <w:rPr>
          <w:rFonts w:cs="Arial"/>
          <w:sz w:val="22"/>
          <w:szCs w:val="22"/>
          <w:lang w:val="hr-HR"/>
        </w:rPr>
        <w:t xml:space="preserve"> U</w:t>
      </w:r>
      <w:r w:rsidR="00E41036" w:rsidRPr="00E41036">
        <w:rPr>
          <w:sz w:val="22"/>
          <w:szCs w:val="22"/>
        </w:rPr>
        <w:t>logu i značaj kako cjeloživotnog učenja tako i obrazovanja odraslih za fun</w:t>
      </w:r>
      <w:r w:rsidR="00222567">
        <w:rPr>
          <w:sz w:val="22"/>
          <w:szCs w:val="22"/>
        </w:rPr>
        <w:t>k</w:t>
      </w:r>
      <w:r w:rsidR="00E41036" w:rsidRPr="00E41036">
        <w:rPr>
          <w:sz w:val="22"/>
          <w:szCs w:val="22"/>
        </w:rPr>
        <w:t xml:space="preserve">cionisanje tržišta rada prepoznala je i partnerska grupa za zapošljavanje </w:t>
      </w:r>
      <w:r w:rsidR="00C20587">
        <w:rPr>
          <w:sz w:val="22"/>
          <w:szCs w:val="22"/>
        </w:rPr>
        <w:t>Glavnog grada Podgorice</w:t>
      </w:r>
      <w:r w:rsidR="00E41036" w:rsidRPr="00E41036">
        <w:rPr>
          <w:sz w:val="22"/>
          <w:szCs w:val="22"/>
        </w:rPr>
        <w:t>.</w:t>
      </w:r>
      <w:r w:rsidR="00E41036">
        <w:rPr>
          <w:sz w:val="22"/>
          <w:szCs w:val="22"/>
        </w:rPr>
        <w:t xml:space="preserve"> </w:t>
      </w:r>
    </w:p>
    <w:p w:rsidR="00E41036" w:rsidRDefault="00E41036" w:rsidP="00B57797">
      <w:pPr>
        <w:ind w:left="66"/>
        <w:jc w:val="both"/>
        <w:rPr>
          <w:rFonts w:cs="Arial"/>
          <w:sz w:val="22"/>
          <w:szCs w:val="22"/>
          <w:lang w:val="hr-HR"/>
        </w:rPr>
      </w:pPr>
    </w:p>
    <w:p w:rsidR="006A3AA2" w:rsidRPr="002047CF" w:rsidRDefault="00E41036" w:rsidP="00B57797">
      <w:pPr>
        <w:jc w:val="both"/>
        <w:rPr>
          <w:rFonts w:cs="Arial"/>
          <w:sz w:val="22"/>
          <w:szCs w:val="22"/>
          <w:lang w:val="hr-HR"/>
        </w:rPr>
      </w:pPr>
      <w:r>
        <w:rPr>
          <w:rFonts w:cs="Arial"/>
          <w:sz w:val="22"/>
          <w:szCs w:val="22"/>
          <w:lang w:val="hr-HR"/>
        </w:rPr>
        <w:t>P</w:t>
      </w:r>
      <w:r w:rsidR="00332811" w:rsidRPr="002047CF">
        <w:rPr>
          <w:rFonts w:cs="Arial"/>
          <w:sz w:val="22"/>
          <w:szCs w:val="22"/>
          <w:lang w:val="hr-HR"/>
        </w:rPr>
        <w:t>osebna pažnja posvećena je socijaln</w:t>
      </w:r>
      <w:r w:rsidR="00414B77" w:rsidRPr="002047CF">
        <w:rPr>
          <w:rFonts w:cs="Arial"/>
          <w:sz w:val="22"/>
          <w:szCs w:val="22"/>
          <w:lang w:val="hr-HR"/>
        </w:rPr>
        <w:t>oj inkluziji</w:t>
      </w:r>
      <w:r w:rsidR="00332811" w:rsidRPr="002047CF">
        <w:rPr>
          <w:rFonts w:cs="Arial"/>
          <w:sz w:val="22"/>
          <w:szCs w:val="22"/>
          <w:lang w:val="hr-HR"/>
        </w:rPr>
        <w:t xml:space="preserve"> na lokalnom tržištu rada </w:t>
      </w:r>
      <w:r w:rsidR="003868F1">
        <w:rPr>
          <w:rFonts w:cs="Arial"/>
          <w:sz w:val="22"/>
          <w:szCs w:val="22"/>
          <w:lang w:val="hr-HR"/>
        </w:rPr>
        <w:t xml:space="preserve">sa </w:t>
      </w:r>
      <w:r w:rsidR="00332811" w:rsidRPr="002047CF">
        <w:rPr>
          <w:rFonts w:cs="Arial"/>
          <w:sz w:val="22"/>
          <w:szCs w:val="22"/>
          <w:lang w:val="hr-HR"/>
        </w:rPr>
        <w:t>cilj</w:t>
      </w:r>
      <w:r w:rsidR="000D3781">
        <w:rPr>
          <w:rFonts w:cs="Arial"/>
          <w:sz w:val="22"/>
          <w:szCs w:val="22"/>
          <w:lang w:val="hr-HR"/>
        </w:rPr>
        <w:t>em</w:t>
      </w:r>
      <w:r w:rsidR="00332811" w:rsidRPr="002047CF">
        <w:rPr>
          <w:rFonts w:cs="Arial"/>
          <w:sz w:val="22"/>
          <w:szCs w:val="22"/>
          <w:lang w:val="hr-HR"/>
        </w:rPr>
        <w:t xml:space="preserve"> da se putem SWOT analize stekne bolji uvid i razum</w:t>
      </w:r>
      <w:r w:rsidR="00216F69">
        <w:rPr>
          <w:rFonts w:cs="Arial"/>
          <w:sz w:val="22"/>
          <w:szCs w:val="22"/>
          <w:lang w:val="hr-HR"/>
        </w:rPr>
        <w:t>i</w:t>
      </w:r>
      <w:r w:rsidR="00332811" w:rsidRPr="002047CF">
        <w:rPr>
          <w:rFonts w:cs="Arial"/>
          <w:sz w:val="22"/>
          <w:szCs w:val="22"/>
          <w:lang w:val="hr-HR"/>
        </w:rPr>
        <w:t>jevanje situacije</w:t>
      </w:r>
      <w:r w:rsidR="00414B77" w:rsidRPr="002047CF">
        <w:rPr>
          <w:rFonts w:cs="Arial"/>
          <w:sz w:val="22"/>
          <w:szCs w:val="22"/>
          <w:lang w:val="hr-HR"/>
        </w:rPr>
        <w:t>. To j</w:t>
      </w:r>
      <w:r w:rsidR="009A2AEE" w:rsidRPr="002047CF">
        <w:rPr>
          <w:rFonts w:cs="Arial"/>
          <w:sz w:val="22"/>
          <w:szCs w:val="22"/>
          <w:lang w:val="hr-HR"/>
        </w:rPr>
        <w:t>e</w:t>
      </w:r>
      <w:r w:rsidR="00332811" w:rsidRPr="002047CF">
        <w:rPr>
          <w:rFonts w:cs="Arial"/>
          <w:sz w:val="22"/>
          <w:szCs w:val="22"/>
          <w:lang w:val="hr-HR"/>
        </w:rPr>
        <w:t xml:space="preserve"> preduslov za</w:t>
      </w:r>
      <w:r w:rsidR="009A2AEE" w:rsidRPr="002047CF">
        <w:rPr>
          <w:rFonts w:cs="Arial"/>
          <w:sz w:val="22"/>
          <w:szCs w:val="22"/>
          <w:lang w:val="hr-HR"/>
        </w:rPr>
        <w:t xml:space="preserve"> adekvatno targetiranje onih koji su u najnepovoljnijem položaju n</w:t>
      </w:r>
      <w:r w:rsidR="00332811" w:rsidRPr="002047CF">
        <w:rPr>
          <w:rFonts w:cs="Arial"/>
          <w:sz w:val="22"/>
          <w:szCs w:val="22"/>
          <w:lang w:val="hr-HR"/>
        </w:rPr>
        <w:t>a lokalnom tržištu rada</w:t>
      </w:r>
      <w:r w:rsidR="00216F69">
        <w:rPr>
          <w:rFonts w:cs="Arial"/>
          <w:sz w:val="22"/>
          <w:szCs w:val="22"/>
          <w:lang w:val="hr-HR"/>
        </w:rPr>
        <w:t>,</w:t>
      </w:r>
      <w:r w:rsidR="00332811" w:rsidRPr="002047CF">
        <w:rPr>
          <w:rFonts w:cs="Arial"/>
          <w:sz w:val="22"/>
          <w:szCs w:val="22"/>
          <w:lang w:val="hr-HR"/>
        </w:rPr>
        <w:t xml:space="preserve"> </w:t>
      </w:r>
      <w:r w:rsidR="00216F69">
        <w:rPr>
          <w:rFonts w:cs="Arial"/>
          <w:sz w:val="22"/>
          <w:szCs w:val="22"/>
          <w:lang w:val="hr-HR"/>
        </w:rPr>
        <w:t>k</w:t>
      </w:r>
      <w:r w:rsidR="00414B77" w:rsidRPr="002047CF">
        <w:rPr>
          <w:rFonts w:cs="Arial"/>
          <w:sz w:val="22"/>
          <w:szCs w:val="22"/>
          <w:lang w:val="hr-HR"/>
        </w:rPr>
        <w:t>a</w:t>
      </w:r>
      <w:r w:rsidR="00216F69">
        <w:rPr>
          <w:rFonts w:cs="Arial"/>
          <w:sz w:val="22"/>
          <w:szCs w:val="22"/>
          <w:lang w:val="hr-HR"/>
        </w:rPr>
        <w:t>o</w:t>
      </w:r>
      <w:r w:rsidR="00414B77" w:rsidRPr="002047CF">
        <w:rPr>
          <w:rFonts w:cs="Arial"/>
          <w:sz w:val="22"/>
          <w:szCs w:val="22"/>
          <w:lang w:val="hr-HR"/>
        </w:rPr>
        <w:t xml:space="preserve"> </w:t>
      </w:r>
      <w:r w:rsidR="00332811" w:rsidRPr="002047CF">
        <w:rPr>
          <w:rFonts w:cs="Arial"/>
          <w:sz w:val="22"/>
          <w:szCs w:val="22"/>
          <w:lang w:val="hr-HR"/>
        </w:rPr>
        <w:t xml:space="preserve">i </w:t>
      </w:r>
      <w:r w:rsidR="009A2AEE" w:rsidRPr="002047CF">
        <w:rPr>
          <w:rFonts w:cs="Arial"/>
          <w:sz w:val="22"/>
          <w:szCs w:val="22"/>
          <w:lang w:val="hr-HR"/>
        </w:rPr>
        <w:t xml:space="preserve">za </w:t>
      </w:r>
      <w:r w:rsidR="00332811" w:rsidRPr="002047CF">
        <w:rPr>
          <w:rFonts w:cs="Arial"/>
          <w:sz w:val="22"/>
          <w:szCs w:val="22"/>
          <w:lang w:val="hr-HR"/>
        </w:rPr>
        <w:t xml:space="preserve">kreiranje </w:t>
      </w:r>
      <w:r w:rsidR="009A2AEE" w:rsidRPr="002047CF">
        <w:rPr>
          <w:rFonts w:cs="Arial"/>
          <w:sz w:val="22"/>
          <w:szCs w:val="22"/>
          <w:lang w:val="hr-HR"/>
        </w:rPr>
        <w:t xml:space="preserve">programa i mjera koje odgovaraju potrebama </w:t>
      </w:r>
      <w:r w:rsidR="00216F69">
        <w:rPr>
          <w:rFonts w:cs="Arial"/>
          <w:sz w:val="22"/>
          <w:szCs w:val="22"/>
          <w:lang w:val="hr-HR"/>
        </w:rPr>
        <w:t>specifičnih</w:t>
      </w:r>
      <w:r w:rsidR="00216F69" w:rsidRPr="002047CF">
        <w:rPr>
          <w:rFonts w:cs="Arial"/>
          <w:sz w:val="22"/>
          <w:szCs w:val="22"/>
          <w:lang w:val="hr-HR"/>
        </w:rPr>
        <w:t xml:space="preserve"> </w:t>
      </w:r>
      <w:r w:rsidR="009A2AEE" w:rsidRPr="002047CF">
        <w:rPr>
          <w:rFonts w:cs="Arial"/>
          <w:sz w:val="22"/>
          <w:szCs w:val="22"/>
          <w:lang w:val="hr-HR"/>
        </w:rPr>
        <w:t>ciljnih grupa.</w:t>
      </w:r>
      <w:r w:rsidR="00332811" w:rsidRPr="002047CF">
        <w:rPr>
          <w:rFonts w:cs="Arial"/>
          <w:sz w:val="22"/>
          <w:szCs w:val="22"/>
          <w:lang w:val="hr-HR"/>
        </w:rPr>
        <w:t xml:space="preserve">  </w:t>
      </w:r>
    </w:p>
    <w:p w:rsidR="00332811" w:rsidRDefault="00332811" w:rsidP="00B57797">
      <w:pPr>
        <w:jc w:val="both"/>
        <w:rPr>
          <w:rFonts w:eastAsia="Calibri" w:cs="Arial"/>
          <w:b/>
          <w:bCs/>
          <w:color w:val="000000" w:themeColor="text1"/>
          <w:kern w:val="24"/>
          <w:sz w:val="22"/>
          <w:szCs w:val="22"/>
          <w:highlight w:val="yellow"/>
          <w:lang w:val="en-US"/>
        </w:rPr>
      </w:pPr>
    </w:p>
    <w:p w:rsidR="00E41036" w:rsidRDefault="00E41036" w:rsidP="00B57797">
      <w:pPr>
        <w:jc w:val="both"/>
        <w:rPr>
          <w:rFonts w:eastAsia="Calibri" w:cs="Arial"/>
          <w:b/>
          <w:bCs/>
          <w:color w:val="000000" w:themeColor="text1"/>
          <w:kern w:val="24"/>
          <w:sz w:val="22"/>
          <w:szCs w:val="22"/>
          <w:lang w:val="en-US"/>
        </w:rPr>
      </w:pPr>
      <w:r w:rsidRPr="00E41036">
        <w:rPr>
          <w:rFonts w:eastAsia="Calibri" w:cs="Arial"/>
          <w:color w:val="000000" w:themeColor="text1"/>
          <w:kern w:val="24"/>
          <w:sz w:val="22"/>
          <w:szCs w:val="22"/>
          <w:lang w:val="en-US"/>
        </w:rPr>
        <w:t xml:space="preserve">Na kraju SWOT analize </w:t>
      </w:r>
      <w:r>
        <w:rPr>
          <w:rFonts w:eastAsia="Calibri" w:cs="Arial"/>
          <w:color w:val="000000" w:themeColor="text1"/>
          <w:kern w:val="24"/>
          <w:sz w:val="22"/>
          <w:szCs w:val="22"/>
          <w:lang w:val="en-US"/>
        </w:rPr>
        <w:t xml:space="preserve">identifikovane su ključne šanse </w:t>
      </w:r>
      <w:r w:rsidR="002C647F">
        <w:rPr>
          <w:rFonts w:eastAsia="Calibri" w:cs="Arial"/>
          <w:color w:val="000000" w:themeColor="text1"/>
          <w:kern w:val="24"/>
          <w:sz w:val="22"/>
          <w:szCs w:val="22"/>
          <w:lang w:val="en-US"/>
        </w:rPr>
        <w:t>i pr</w:t>
      </w:r>
      <w:r w:rsidR="00F67634">
        <w:rPr>
          <w:rFonts w:eastAsia="Calibri" w:cs="Arial"/>
          <w:color w:val="000000" w:themeColor="text1"/>
          <w:kern w:val="24"/>
          <w:sz w:val="22"/>
          <w:szCs w:val="22"/>
          <w:lang w:val="en-US"/>
        </w:rPr>
        <w:t>i</w:t>
      </w:r>
      <w:r w:rsidR="002C647F">
        <w:rPr>
          <w:rFonts w:eastAsia="Calibri" w:cs="Arial"/>
          <w:color w:val="000000" w:themeColor="text1"/>
          <w:kern w:val="24"/>
          <w:sz w:val="22"/>
          <w:szCs w:val="22"/>
          <w:lang w:val="en-US"/>
        </w:rPr>
        <w:t xml:space="preserve">jedlozi </w:t>
      </w:r>
      <w:r>
        <w:rPr>
          <w:rFonts w:eastAsia="Calibri" w:cs="Arial"/>
          <w:color w:val="000000" w:themeColor="text1"/>
          <w:kern w:val="24"/>
          <w:sz w:val="22"/>
          <w:szCs w:val="22"/>
          <w:lang w:val="en-US"/>
        </w:rPr>
        <w:t>za unapređenje</w:t>
      </w:r>
      <w:r w:rsidR="002C647F">
        <w:rPr>
          <w:rFonts w:eastAsia="Calibri" w:cs="Arial"/>
          <w:color w:val="000000" w:themeColor="text1"/>
          <w:kern w:val="24"/>
          <w:sz w:val="22"/>
          <w:szCs w:val="22"/>
          <w:lang w:val="en-US"/>
        </w:rPr>
        <w:t xml:space="preserve"> zapošljavanja, obrazovanja odraslih i socijalne </w:t>
      </w:r>
      <w:r w:rsidR="003868F1">
        <w:rPr>
          <w:rFonts w:eastAsia="Calibri" w:cs="Arial"/>
          <w:color w:val="000000" w:themeColor="text1"/>
          <w:kern w:val="24"/>
          <w:sz w:val="22"/>
          <w:szCs w:val="22"/>
          <w:lang w:val="en-US"/>
        </w:rPr>
        <w:t xml:space="preserve">uključenosti </w:t>
      </w:r>
      <w:r>
        <w:rPr>
          <w:rFonts w:eastAsia="Calibri" w:cs="Arial"/>
          <w:color w:val="000000" w:themeColor="text1"/>
          <w:kern w:val="24"/>
          <w:sz w:val="22"/>
          <w:szCs w:val="22"/>
          <w:lang w:val="en-US"/>
        </w:rPr>
        <w:t>i</w:t>
      </w:r>
      <w:r w:rsidRPr="00E41036">
        <w:rPr>
          <w:rFonts w:eastAsia="Calibri" w:cs="Arial"/>
          <w:color w:val="000000" w:themeColor="text1"/>
          <w:kern w:val="24"/>
          <w:sz w:val="22"/>
          <w:szCs w:val="22"/>
          <w:lang w:val="en-US"/>
        </w:rPr>
        <w:t xml:space="preserve"> identifikovani ključni izazovi</w:t>
      </w:r>
      <w:r w:rsidRPr="00E41036">
        <w:rPr>
          <w:rFonts w:eastAsia="Calibri" w:cs="Arial"/>
          <w:b/>
          <w:bCs/>
          <w:color w:val="000000" w:themeColor="text1"/>
          <w:kern w:val="24"/>
          <w:sz w:val="22"/>
          <w:szCs w:val="22"/>
          <w:lang w:val="en-US"/>
        </w:rPr>
        <w:t>.</w:t>
      </w:r>
    </w:p>
    <w:p w:rsidR="009D05F5" w:rsidRPr="00E41036" w:rsidRDefault="009D05F5" w:rsidP="00B57797">
      <w:pPr>
        <w:jc w:val="both"/>
        <w:rPr>
          <w:rFonts w:eastAsia="Calibri" w:cs="Arial"/>
          <w:b/>
          <w:bCs/>
          <w:color w:val="000000" w:themeColor="text1"/>
          <w:kern w:val="24"/>
          <w:sz w:val="22"/>
          <w:szCs w:val="22"/>
          <w:lang w:val="en-US"/>
        </w:rPr>
      </w:pPr>
    </w:p>
    <w:p w:rsidR="00E3466A" w:rsidRDefault="00E3466A" w:rsidP="00E3466A">
      <w:pPr>
        <w:pStyle w:val="Heading2"/>
        <w:spacing w:before="0"/>
        <w:rPr>
          <w:rFonts w:eastAsia="Calibri"/>
          <w:lang w:val="en-US"/>
        </w:rPr>
      </w:pPr>
      <w:bookmarkStart w:id="84" w:name="_Toc60565212"/>
      <w:bookmarkStart w:id="85" w:name="_Toc61289789"/>
      <w:bookmarkStart w:id="86" w:name="_Toc63099504"/>
      <w:bookmarkStart w:id="87" w:name="_Toc52644738"/>
      <w:r>
        <w:rPr>
          <w:rFonts w:eastAsia="Calibri"/>
          <w:lang w:val="en-US"/>
        </w:rPr>
        <w:t>4</w:t>
      </w:r>
      <w:r w:rsidRPr="002047CF">
        <w:rPr>
          <w:rFonts w:eastAsia="Calibri"/>
          <w:lang w:val="en-US"/>
        </w:rPr>
        <w:t xml:space="preserve">.1 LOKALNO TRŽIŠTE RADA </w:t>
      </w:r>
      <w:r>
        <w:rPr>
          <w:rFonts w:eastAsia="Calibri"/>
          <w:lang w:val="en-US"/>
        </w:rPr>
        <w:t>I RADNA SNAGA</w:t>
      </w:r>
      <w:bookmarkEnd w:id="84"/>
      <w:bookmarkEnd w:id="85"/>
      <w:bookmarkEnd w:id="86"/>
      <w:r>
        <w:rPr>
          <w:rFonts w:eastAsia="Calibri"/>
          <w:lang w:val="en-US"/>
        </w:rPr>
        <w:t xml:space="preserve"> </w:t>
      </w:r>
    </w:p>
    <w:p w:rsidR="00E3466A" w:rsidRPr="002C647F" w:rsidRDefault="00E3466A" w:rsidP="00E3466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531"/>
        <w:gridCol w:w="4531"/>
      </w:tblGrid>
      <w:tr w:rsidR="00E3466A" w:rsidTr="00AA426D">
        <w:trPr>
          <w:trHeight w:val="272"/>
        </w:trPr>
        <w:tc>
          <w:tcPr>
            <w:tcW w:w="4531" w:type="dxa"/>
            <w:shd w:val="clear" w:color="auto" w:fill="FFD966" w:themeFill="accent4" w:themeFillTint="99"/>
          </w:tcPr>
          <w:p w:rsidR="00E3466A" w:rsidRPr="002104BE" w:rsidRDefault="00E3466A" w:rsidP="00E3466A">
            <w:pPr>
              <w:jc w:val="center"/>
            </w:pPr>
            <w:r>
              <w:t>PREDNOSTI</w:t>
            </w:r>
          </w:p>
        </w:tc>
        <w:tc>
          <w:tcPr>
            <w:tcW w:w="4531" w:type="dxa"/>
            <w:shd w:val="clear" w:color="auto" w:fill="FFD966" w:themeFill="accent4" w:themeFillTint="99"/>
          </w:tcPr>
          <w:p w:rsidR="00E3466A" w:rsidRDefault="00E3466A" w:rsidP="00E3466A">
            <w:pPr>
              <w:jc w:val="center"/>
            </w:pPr>
            <w:r>
              <w:t>SLABOSTI</w:t>
            </w:r>
          </w:p>
        </w:tc>
      </w:tr>
      <w:tr w:rsidR="00E3466A" w:rsidTr="00AA426D">
        <w:trPr>
          <w:trHeight w:val="558"/>
        </w:trPr>
        <w:tc>
          <w:tcPr>
            <w:tcW w:w="4531" w:type="dxa"/>
          </w:tcPr>
          <w:p w:rsidR="00E3466A" w:rsidRPr="00233A1A" w:rsidRDefault="00E3466A" w:rsidP="00E3466A">
            <w:pPr>
              <w:pStyle w:val="ListParagraph"/>
              <w:numPr>
                <w:ilvl w:val="0"/>
                <w:numId w:val="31"/>
              </w:numPr>
              <w:ind w:left="318"/>
            </w:pPr>
            <w:r w:rsidRPr="00233A1A">
              <w:t xml:space="preserve">Pozicija Glavnog grada kao društvenog, ekonomskog i  političkog centra </w:t>
            </w:r>
          </w:p>
          <w:p w:rsidR="00E3466A" w:rsidRDefault="00E3466A" w:rsidP="00E3466A">
            <w:pPr>
              <w:pStyle w:val="ListParagraph"/>
              <w:numPr>
                <w:ilvl w:val="0"/>
                <w:numId w:val="31"/>
              </w:numPr>
              <w:ind w:left="318"/>
            </w:pPr>
            <w:r w:rsidRPr="00233A1A">
              <w:t xml:space="preserve">Geografska povezanost i dobra infrastruktura </w:t>
            </w:r>
          </w:p>
          <w:p w:rsidR="00E3466A" w:rsidRPr="00233A1A" w:rsidRDefault="00E3466A" w:rsidP="00E3466A">
            <w:pPr>
              <w:pStyle w:val="ListParagraph"/>
              <w:numPr>
                <w:ilvl w:val="0"/>
                <w:numId w:val="31"/>
              </w:numPr>
              <w:ind w:left="318"/>
            </w:pPr>
            <w:r w:rsidRPr="00233A1A">
              <w:t xml:space="preserve">Edukovana radna snaga </w:t>
            </w:r>
          </w:p>
          <w:p w:rsidR="00E3466A" w:rsidRPr="00233A1A" w:rsidRDefault="00E3466A" w:rsidP="00E3466A">
            <w:pPr>
              <w:pStyle w:val="ListParagraph"/>
              <w:numPr>
                <w:ilvl w:val="0"/>
                <w:numId w:val="31"/>
              </w:numPr>
              <w:ind w:left="318"/>
            </w:pPr>
            <w:r w:rsidRPr="00233A1A">
              <w:t>Adekvatna  infrastruktura za obrazov</w:t>
            </w:r>
            <w:r>
              <w:t>an</w:t>
            </w:r>
            <w:r w:rsidRPr="00233A1A">
              <w:t>j</w:t>
            </w:r>
            <w:r>
              <w:t>e</w:t>
            </w:r>
            <w:r w:rsidRPr="00233A1A">
              <w:t xml:space="preserve"> odraslih </w:t>
            </w:r>
          </w:p>
          <w:p w:rsidR="00E3466A" w:rsidRPr="00233A1A" w:rsidRDefault="00E3466A" w:rsidP="00E3466A">
            <w:pPr>
              <w:pStyle w:val="ListParagraph"/>
              <w:numPr>
                <w:ilvl w:val="0"/>
                <w:numId w:val="31"/>
              </w:numPr>
              <w:ind w:left="318"/>
            </w:pPr>
            <w:r>
              <w:t xml:space="preserve">Skoncentrisanost finansijskog kapitala </w:t>
            </w:r>
          </w:p>
          <w:p w:rsidR="00E3466A" w:rsidRDefault="00E3466A" w:rsidP="00E3466A">
            <w:pPr>
              <w:pStyle w:val="ListParagraph"/>
              <w:numPr>
                <w:ilvl w:val="0"/>
                <w:numId w:val="31"/>
              </w:numPr>
              <w:ind w:left="318"/>
            </w:pPr>
            <w:r>
              <w:t>Postojanje infrastrukture</w:t>
            </w:r>
            <w:r w:rsidRPr="00233A1A">
              <w:t xml:space="preserve"> </w:t>
            </w:r>
            <w:r>
              <w:t>koja podržava razvoj biznisa</w:t>
            </w:r>
          </w:p>
          <w:p w:rsidR="00E3466A" w:rsidRDefault="00E3466A" w:rsidP="00E3466A">
            <w:pPr>
              <w:pStyle w:val="ListParagraph"/>
              <w:numPr>
                <w:ilvl w:val="0"/>
                <w:numId w:val="31"/>
              </w:numPr>
              <w:ind w:left="318"/>
            </w:pPr>
            <w:r>
              <w:t>P</w:t>
            </w:r>
            <w:r w:rsidRPr="00233A1A">
              <w:t>odrš</w:t>
            </w:r>
            <w:r>
              <w:t xml:space="preserve">ka </w:t>
            </w:r>
            <w:r w:rsidRPr="00233A1A">
              <w:t>preduzet</w:t>
            </w:r>
            <w:r>
              <w:t>ništvu  (</w:t>
            </w:r>
            <w:r w:rsidRPr="00233A1A">
              <w:t>Odluka o osnivanju biznis zona;</w:t>
            </w:r>
            <w:r>
              <w:t xml:space="preserve"> finansijski podsticaji, savjetovanje, podrška u marketingu, organizacija besplatnog knjigovodstva-računovodstva, itd); podrška preduzetničkim klubovima u osnovnim školama</w:t>
            </w:r>
          </w:p>
          <w:p w:rsidR="00E3466A" w:rsidRDefault="00E3466A" w:rsidP="00E3466A">
            <w:pPr>
              <w:pStyle w:val="ListParagraph"/>
              <w:numPr>
                <w:ilvl w:val="0"/>
                <w:numId w:val="31"/>
              </w:numPr>
              <w:ind w:left="318"/>
            </w:pPr>
            <w:r>
              <w:t xml:space="preserve">Podrška ženskom preduzetništvu </w:t>
            </w:r>
            <w:r w:rsidRPr="00233A1A">
              <w:t>(Podsticaji za žensko preduzetništvo</w:t>
            </w:r>
            <w:r>
              <w:t xml:space="preserve">; </w:t>
            </w:r>
            <w:r w:rsidRPr="00233A1A">
              <w:t xml:space="preserve">Besplatno biznis savjetovalište za žene </w:t>
            </w:r>
            <w:r>
              <w:t>i</w:t>
            </w:r>
            <w:r w:rsidRPr="00233A1A">
              <w:t xml:space="preserve"> mlade</w:t>
            </w:r>
            <w:r>
              <w:t>, Obuke</w:t>
            </w:r>
            <w:r w:rsidRPr="00233A1A">
              <w:t>)</w:t>
            </w:r>
          </w:p>
          <w:p w:rsidR="00E3466A" w:rsidRDefault="00E3466A" w:rsidP="00E3466A">
            <w:pPr>
              <w:pStyle w:val="ListParagraph"/>
              <w:numPr>
                <w:ilvl w:val="0"/>
                <w:numId w:val="31"/>
              </w:numPr>
              <w:ind w:left="318"/>
            </w:pPr>
            <w:r>
              <w:t xml:space="preserve">Formiran </w:t>
            </w:r>
            <w:r w:rsidRPr="00233A1A">
              <w:t xml:space="preserve">IPA tim, </w:t>
            </w:r>
            <w:r>
              <w:t xml:space="preserve">koji uspješno koristi sredstva od EU fondova </w:t>
            </w:r>
            <w:r w:rsidRPr="00233A1A">
              <w:t xml:space="preserve"> </w:t>
            </w:r>
          </w:p>
          <w:p w:rsidR="00E3466A" w:rsidRPr="00233A1A" w:rsidRDefault="00E3466A" w:rsidP="00E3466A">
            <w:pPr>
              <w:pStyle w:val="ListParagraph"/>
              <w:numPr>
                <w:ilvl w:val="0"/>
                <w:numId w:val="31"/>
              </w:numPr>
              <w:ind w:left="318"/>
            </w:pPr>
            <w:r w:rsidRPr="00233A1A">
              <w:t xml:space="preserve">Umrežene </w:t>
            </w:r>
            <w:r>
              <w:t>institucije</w:t>
            </w:r>
            <w:r w:rsidRPr="00233A1A">
              <w:t xml:space="preserve"> socijalnog partnerstva, zajednička saradnja, projekti, sinergija  </w:t>
            </w:r>
          </w:p>
          <w:p w:rsidR="00E3466A" w:rsidRDefault="00E3466A" w:rsidP="006A4215">
            <w:pPr>
              <w:pStyle w:val="ListParagraph"/>
              <w:numPr>
                <w:ilvl w:val="0"/>
                <w:numId w:val="31"/>
              </w:numPr>
              <w:ind w:left="318"/>
            </w:pPr>
            <w:r w:rsidRPr="00233A1A">
              <w:t xml:space="preserve">Novi strateški plan </w:t>
            </w:r>
            <w:r>
              <w:t xml:space="preserve">razvoja Glavnog grada i </w:t>
            </w:r>
            <w:r w:rsidRPr="00233A1A">
              <w:t xml:space="preserve">definisani strateški prioriteti </w:t>
            </w:r>
          </w:p>
        </w:tc>
        <w:tc>
          <w:tcPr>
            <w:tcW w:w="4531" w:type="dxa"/>
          </w:tcPr>
          <w:p w:rsidR="00E3466A" w:rsidRPr="00EA3009" w:rsidRDefault="00E3466A" w:rsidP="00F67634">
            <w:pPr>
              <w:pStyle w:val="ListParagraph"/>
              <w:numPr>
                <w:ilvl w:val="0"/>
                <w:numId w:val="44"/>
              </w:numPr>
            </w:pPr>
            <w:r w:rsidRPr="00EA3009">
              <w:t>Nepovoljne unutrašnje migracije</w:t>
            </w:r>
          </w:p>
          <w:p w:rsidR="00E3466A" w:rsidRPr="00EA3009" w:rsidRDefault="00E3466A" w:rsidP="00F67634">
            <w:pPr>
              <w:pStyle w:val="ListParagraph"/>
              <w:numPr>
                <w:ilvl w:val="0"/>
                <w:numId w:val="44"/>
              </w:numPr>
            </w:pPr>
            <w:r w:rsidRPr="00EA3009">
              <w:t>Neplanski rast grada</w:t>
            </w:r>
          </w:p>
          <w:p w:rsidR="00E3466A" w:rsidRPr="00EA3009" w:rsidRDefault="00E3466A" w:rsidP="00F67634">
            <w:pPr>
              <w:pStyle w:val="ListParagraph"/>
              <w:numPr>
                <w:ilvl w:val="0"/>
                <w:numId w:val="44"/>
              </w:numPr>
            </w:pPr>
            <w:r w:rsidRPr="00EA3009">
              <w:t xml:space="preserve">Pad nataliteta </w:t>
            </w:r>
          </w:p>
          <w:p w:rsidR="00E3466A" w:rsidRPr="00EA3009" w:rsidRDefault="00E3466A" w:rsidP="00F67634">
            <w:pPr>
              <w:pStyle w:val="ListParagraph"/>
              <w:numPr>
                <w:ilvl w:val="0"/>
                <w:numId w:val="44"/>
              </w:numPr>
            </w:pPr>
            <w:r w:rsidRPr="00EA3009">
              <w:t>Neformalna  ekonomija</w:t>
            </w:r>
          </w:p>
          <w:p w:rsidR="00E3466A" w:rsidRPr="00EA3009" w:rsidRDefault="00E3466A" w:rsidP="00F67634">
            <w:pPr>
              <w:pStyle w:val="ListParagraph"/>
              <w:numPr>
                <w:ilvl w:val="0"/>
                <w:numId w:val="44"/>
              </w:numPr>
            </w:pPr>
            <w:r w:rsidRPr="00EA3009">
              <w:t xml:space="preserve">Neusklađenost tržišta radne snage </w:t>
            </w:r>
          </w:p>
          <w:p w:rsidR="00E3466A" w:rsidRPr="00EA3009" w:rsidRDefault="00E3466A" w:rsidP="00F67634">
            <w:pPr>
              <w:pStyle w:val="ListParagraph"/>
              <w:numPr>
                <w:ilvl w:val="0"/>
                <w:numId w:val="44"/>
              </w:numPr>
            </w:pPr>
            <w:r>
              <w:t xml:space="preserve">Nedovoljna razvijenost </w:t>
            </w:r>
            <w:r w:rsidRPr="00EA3009">
              <w:t xml:space="preserve"> preduzetničkog duha /kulture </w:t>
            </w:r>
          </w:p>
          <w:p w:rsidR="00E3466A" w:rsidRPr="00EA3009" w:rsidRDefault="00E3466A" w:rsidP="00F67634">
            <w:pPr>
              <w:pStyle w:val="ListParagraph"/>
              <w:numPr>
                <w:ilvl w:val="0"/>
                <w:numId w:val="44"/>
              </w:numPr>
            </w:pPr>
            <w:r w:rsidRPr="00EA3009">
              <w:t xml:space="preserve">Nedovoljna promocija potencijala za razvoj preduzetništva i dostupnih  usluga koje pruža Glavni grad </w:t>
            </w:r>
          </w:p>
          <w:p w:rsidR="00E3466A" w:rsidRPr="00EA3009" w:rsidRDefault="00E3466A" w:rsidP="00F67634">
            <w:pPr>
              <w:pStyle w:val="ListParagraph"/>
              <w:numPr>
                <w:ilvl w:val="0"/>
                <w:numId w:val="44"/>
              </w:numPr>
            </w:pPr>
            <w:r w:rsidRPr="00EA3009">
              <w:t xml:space="preserve">Neobjedinjene usluge (one stop shop) za osnivanje biznisa </w:t>
            </w:r>
          </w:p>
          <w:p w:rsidR="00E3466A" w:rsidRDefault="00E3466A" w:rsidP="00E3466A">
            <w:pPr>
              <w:pStyle w:val="ListParagraph"/>
              <w:ind w:left="1080"/>
            </w:pPr>
          </w:p>
        </w:tc>
      </w:tr>
      <w:tr w:rsidR="00E3466A" w:rsidTr="00AA426D">
        <w:tc>
          <w:tcPr>
            <w:tcW w:w="4531" w:type="dxa"/>
            <w:shd w:val="clear" w:color="auto" w:fill="FFD966" w:themeFill="accent4" w:themeFillTint="99"/>
          </w:tcPr>
          <w:p w:rsidR="00E3466A" w:rsidRDefault="00E3466A" w:rsidP="00E3466A">
            <w:pPr>
              <w:jc w:val="center"/>
            </w:pPr>
            <w:r>
              <w:t>ŠANSE/MOGUĆNOSTI</w:t>
            </w:r>
          </w:p>
        </w:tc>
        <w:tc>
          <w:tcPr>
            <w:tcW w:w="4531" w:type="dxa"/>
            <w:shd w:val="clear" w:color="auto" w:fill="FFD966" w:themeFill="accent4" w:themeFillTint="99"/>
          </w:tcPr>
          <w:p w:rsidR="00E3466A" w:rsidRDefault="00E3466A" w:rsidP="00E3466A">
            <w:pPr>
              <w:jc w:val="center"/>
            </w:pPr>
            <w:r>
              <w:t>PRIJETNJE</w:t>
            </w:r>
          </w:p>
        </w:tc>
      </w:tr>
      <w:tr w:rsidR="00E3466A" w:rsidTr="00AA426D">
        <w:trPr>
          <w:trHeight w:val="2462"/>
        </w:trPr>
        <w:tc>
          <w:tcPr>
            <w:tcW w:w="4531" w:type="dxa"/>
          </w:tcPr>
          <w:p w:rsidR="00E3466A" w:rsidRPr="00EA3009" w:rsidRDefault="00E3466A" w:rsidP="00E3466A">
            <w:pPr>
              <w:pStyle w:val="ListParagraph"/>
              <w:numPr>
                <w:ilvl w:val="0"/>
                <w:numId w:val="30"/>
              </w:numPr>
              <w:ind w:left="318"/>
            </w:pPr>
            <w:r w:rsidRPr="00EA3009">
              <w:lastRenderedPageBreak/>
              <w:t xml:space="preserve">Online </w:t>
            </w:r>
            <w:r>
              <w:t xml:space="preserve">preduzetničko </w:t>
            </w:r>
            <w:r w:rsidRPr="00EA3009">
              <w:t xml:space="preserve">savjetovalište za žene i mlade </w:t>
            </w:r>
          </w:p>
          <w:p w:rsidR="00E3466A" w:rsidRPr="00EA3009" w:rsidRDefault="00E3466A" w:rsidP="00E3466A">
            <w:pPr>
              <w:pStyle w:val="ListParagraph"/>
              <w:numPr>
                <w:ilvl w:val="0"/>
                <w:numId w:val="30"/>
              </w:numPr>
              <w:ind w:left="318"/>
            </w:pPr>
            <w:r w:rsidRPr="00EA3009">
              <w:t xml:space="preserve">IPA fondovi </w:t>
            </w:r>
            <w:r>
              <w:t>i drugi fondovi EU</w:t>
            </w:r>
          </w:p>
          <w:p w:rsidR="00E3466A" w:rsidRPr="00EA3009" w:rsidRDefault="00E3466A" w:rsidP="00E3466A">
            <w:pPr>
              <w:pStyle w:val="ListParagraph"/>
              <w:numPr>
                <w:ilvl w:val="0"/>
                <w:numId w:val="30"/>
              </w:numPr>
              <w:ind w:left="318"/>
            </w:pPr>
            <w:r w:rsidRPr="00EA3009">
              <w:t xml:space="preserve">Biznis zone </w:t>
            </w:r>
          </w:p>
          <w:p w:rsidR="00E3466A" w:rsidRPr="00EA3009" w:rsidRDefault="00E3466A" w:rsidP="00E3466A">
            <w:pPr>
              <w:pStyle w:val="ListParagraph"/>
              <w:numPr>
                <w:ilvl w:val="0"/>
                <w:numId w:val="30"/>
              </w:numPr>
              <w:ind w:left="318"/>
            </w:pPr>
            <w:r w:rsidRPr="00EA3009">
              <w:t>Poljopriv</w:t>
            </w:r>
            <w:r>
              <w:t xml:space="preserve">redna </w:t>
            </w:r>
            <w:r w:rsidRPr="00EA3009">
              <w:t xml:space="preserve"> </w:t>
            </w:r>
            <w:r>
              <w:t>proizvodnja (kroz ust</w:t>
            </w:r>
            <w:r w:rsidRPr="00EA3009">
              <w:t>upanje zemljišta</w:t>
            </w:r>
            <w:r>
              <w:t xml:space="preserve"> za uzgoj </w:t>
            </w:r>
            <w:r w:rsidRPr="00EA3009">
              <w:t xml:space="preserve"> šumskog </w:t>
            </w:r>
            <w:r>
              <w:t>i</w:t>
            </w:r>
            <w:r w:rsidRPr="00EA3009">
              <w:t xml:space="preserve"> ljekovitog bilja</w:t>
            </w:r>
            <w:r>
              <w:t>,  organsku proizvodnju</w:t>
            </w:r>
            <w:r w:rsidRPr="00EA3009">
              <w:t>,</w:t>
            </w:r>
            <w:r>
              <w:t xml:space="preserve"> kao i osnivanje  klastera</w:t>
            </w:r>
            <w:r w:rsidRPr="00EA3009">
              <w:t xml:space="preserve"> u proizvodnji hrane</w:t>
            </w:r>
            <w:r>
              <w:t>)</w:t>
            </w:r>
            <w:r w:rsidRPr="00EA3009">
              <w:t xml:space="preserve"> </w:t>
            </w:r>
          </w:p>
          <w:p w:rsidR="00E3466A" w:rsidRPr="00EA3009" w:rsidRDefault="00E3466A" w:rsidP="00E3466A">
            <w:pPr>
              <w:pStyle w:val="ListParagraph"/>
              <w:numPr>
                <w:ilvl w:val="0"/>
                <w:numId w:val="30"/>
              </w:numPr>
              <w:ind w:left="318"/>
            </w:pPr>
            <w:r w:rsidRPr="00EA3009">
              <w:t>Podrška nacionalnih institucija</w:t>
            </w:r>
          </w:p>
          <w:p w:rsidR="00E3466A" w:rsidRPr="00EA3009" w:rsidRDefault="00E3466A" w:rsidP="00E3466A">
            <w:pPr>
              <w:pStyle w:val="ListParagraph"/>
              <w:numPr>
                <w:ilvl w:val="0"/>
                <w:numId w:val="30"/>
              </w:numPr>
              <w:ind w:left="318"/>
            </w:pPr>
            <w:r w:rsidRPr="00EA3009">
              <w:t xml:space="preserve">Digitalizacija </w:t>
            </w:r>
            <w:r>
              <w:t>i</w:t>
            </w:r>
            <w:r w:rsidRPr="00EA3009">
              <w:t xml:space="preserve"> digitalna transformacija  usluga (</w:t>
            </w:r>
            <w:r>
              <w:t>podstaknuta Covid -19 krizom</w:t>
            </w:r>
            <w:r w:rsidRPr="00EA3009">
              <w:t>)</w:t>
            </w:r>
          </w:p>
          <w:p w:rsidR="00E3466A" w:rsidRPr="00EA3009" w:rsidRDefault="00E3466A" w:rsidP="00E3466A">
            <w:pPr>
              <w:pStyle w:val="ListParagraph"/>
              <w:numPr>
                <w:ilvl w:val="0"/>
                <w:numId w:val="30"/>
              </w:numPr>
              <w:ind w:left="318"/>
            </w:pPr>
            <w:r w:rsidRPr="00EA3009">
              <w:t xml:space="preserve">EU integracije </w:t>
            </w:r>
          </w:p>
          <w:p w:rsidR="00E3466A" w:rsidRPr="00EA3009" w:rsidRDefault="00E3466A" w:rsidP="00E3466A">
            <w:pPr>
              <w:pStyle w:val="ListParagraph"/>
              <w:numPr>
                <w:ilvl w:val="0"/>
                <w:numId w:val="30"/>
              </w:numPr>
              <w:ind w:left="318"/>
            </w:pPr>
            <w:r w:rsidRPr="00EA3009">
              <w:t>Smanj</w:t>
            </w:r>
            <w:r>
              <w:t>e</w:t>
            </w:r>
            <w:r w:rsidRPr="00EA3009">
              <w:t xml:space="preserve">nje </w:t>
            </w:r>
            <w:r>
              <w:t>opštinskih dažbina</w:t>
            </w:r>
          </w:p>
          <w:p w:rsidR="00E3466A" w:rsidRPr="00EA3009" w:rsidRDefault="00E3466A" w:rsidP="00E3466A">
            <w:pPr>
              <w:pStyle w:val="ListParagraph"/>
              <w:numPr>
                <w:ilvl w:val="0"/>
                <w:numId w:val="30"/>
              </w:numPr>
              <w:ind w:left="318"/>
            </w:pPr>
            <w:r w:rsidRPr="00EA3009">
              <w:t>Priliv mladih, kvalitetnih, obrazovanih ljudi</w:t>
            </w:r>
          </w:p>
          <w:p w:rsidR="00E3466A" w:rsidRPr="00EA3009" w:rsidRDefault="00E3466A" w:rsidP="00E3466A">
            <w:pPr>
              <w:pStyle w:val="ListParagraph"/>
              <w:numPr>
                <w:ilvl w:val="0"/>
                <w:numId w:val="30"/>
              </w:numPr>
              <w:ind w:left="318"/>
            </w:pPr>
            <w:r w:rsidRPr="00EA3009">
              <w:t xml:space="preserve">Turizam </w:t>
            </w:r>
            <w:r>
              <w:t>- potencijal</w:t>
            </w:r>
            <w:r w:rsidRPr="00EA3009">
              <w:t xml:space="preserve"> za </w:t>
            </w:r>
            <w:r>
              <w:t xml:space="preserve">dalji razvoj </w:t>
            </w:r>
            <w:r w:rsidRPr="00EA3009">
              <w:t xml:space="preserve"> </w:t>
            </w:r>
          </w:p>
          <w:p w:rsidR="00E3466A" w:rsidRDefault="00E3466A" w:rsidP="00385224">
            <w:pPr>
              <w:pStyle w:val="ListParagraph"/>
              <w:numPr>
                <w:ilvl w:val="0"/>
                <w:numId w:val="30"/>
              </w:numPr>
              <w:ind w:left="318"/>
            </w:pPr>
            <w:r w:rsidRPr="00EA3009">
              <w:t xml:space="preserve">Privlačenje stranih investitora </w:t>
            </w:r>
            <w:r>
              <w:t xml:space="preserve"> (npr. kroz ekonomsko državljanstvo, organizaciju Foruma itd.)</w:t>
            </w:r>
          </w:p>
        </w:tc>
        <w:tc>
          <w:tcPr>
            <w:tcW w:w="4531" w:type="dxa"/>
          </w:tcPr>
          <w:p w:rsidR="00E3466A" w:rsidRPr="00EA3009" w:rsidRDefault="00E3466A" w:rsidP="00F67634">
            <w:pPr>
              <w:pStyle w:val="ListParagraph"/>
              <w:numPr>
                <w:ilvl w:val="0"/>
                <w:numId w:val="45"/>
              </w:numPr>
            </w:pPr>
            <w:r w:rsidRPr="00EA3009">
              <w:t xml:space="preserve">Pandemija </w:t>
            </w:r>
          </w:p>
          <w:p w:rsidR="00E3466A" w:rsidRPr="00EA3009" w:rsidRDefault="00E3466A" w:rsidP="00F67634">
            <w:pPr>
              <w:pStyle w:val="ListParagraph"/>
              <w:numPr>
                <w:ilvl w:val="0"/>
                <w:numId w:val="45"/>
              </w:numPr>
            </w:pPr>
            <w:r>
              <w:t>O</w:t>
            </w:r>
            <w:r w:rsidRPr="00EA3009">
              <w:t xml:space="preserve">sjetljivost privrede na zatvaranje granica </w:t>
            </w:r>
            <w:r>
              <w:t>i</w:t>
            </w:r>
            <w:r w:rsidRPr="00EA3009">
              <w:t xml:space="preserve"> usporavanje globalnog poslovanja </w:t>
            </w:r>
          </w:p>
          <w:p w:rsidR="00E3466A" w:rsidRPr="00EA3009" w:rsidRDefault="00E3466A" w:rsidP="00F67634">
            <w:pPr>
              <w:pStyle w:val="ListParagraph"/>
              <w:numPr>
                <w:ilvl w:val="0"/>
                <w:numId w:val="45"/>
              </w:numPr>
            </w:pPr>
            <w:r>
              <w:t>O</w:t>
            </w:r>
            <w:r w:rsidRPr="00EA3009">
              <w:t xml:space="preserve">dlazak </w:t>
            </w:r>
            <w:r>
              <w:t xml:space="preserve">obrazovanih </w:t>
            </w:r>
            <w:r w:rsidRPr="00EA3009">
              <w:t xml:space="preserve">mladih </w:t>
            </w:r>
            <w:r>
              <w:t>ljudi</w:t>
            </w:r>
          </w:p>
          <w:p w:rsidR="00E3466A" w:rsidRPr="00EA3009" w:rsidRDefault="00E3466A" w:rsidP="00F67634">
            <w:pPr>
              <w:pStyle w:val="ListParagraph"/>
              <w:numPr>
                <w:ilvl w:val="0"/>
                <w:numId w:val="45"/>
              </w:numPr>
            </w:pPr>
            <w:r>
              <w:t>P</w:t>
            </w:r>
            <w:r w:rsidRPr="00EA3009">
              <w:t>ad nataliteta</w:t>
            </w:r>
          </w:p>
          <w:p w:rsidR="00E3466A" w:rsidRDefault="00E3466A" w:rsidP="00E3466A">
            <w:pPr>
              <w:pStyle w:val="ListParagraph"/>
              <w:ind w:left="1080"/>
            </w:pPr>
          </w:p>
        </w:tc>
      </w:tr>
    </w:tbl>
    <w:p w:rsidR="00E3466A" w:rsidRDefault="00E3466A" w:rsidP="00E3466A"/>
    <w:tbl>
      <w:tblPr>
        <w:tblStyle w:val="TableGrid"/>
        <w:tblW w:w="0" w:type="auto"/>
        <w:tblLook w:val="04A0"/>
      </w:tblPr>
      <w:tblGrid>
        <w:gridCol w:w="9231"/>
      </w:tblGrid>
      <w:tr w:rsidR="005C5AB0" w:rsidRPr="0074238C" w:rsidTr="005C5AB0">
        <w:tc>
          <w:tcPr>
            <w:tcW w:w="92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tcPr>
          <w:p w:rsidR="005C5AB0" w:rsidRPr="0074238C" w:rsidRDefault="005C5AB0" w:rsidP="005C5AB0">
            <w:pPr>
              <w:rPr>
                <w:bCs/>
                <w:szCs w:val="20"/>
              </w:rPr>
            </w:pPr>
            <w:r w:rsidRPr="0074238C">
              <w:rPr>
                <w:bCs/>
                <w:szCs w:val="20"/>
              </w:rPr>
              <w:t>KLJUČNE RAZVOJNE ŠANSE ZA UNAPREĐENJE ZAPOŠLJAVANJA</w:t>
            </w:r>
          </w:p>
        </w:tc>
      </w:tr>
      <w:tr w:rsidR="005C5AB0" w:rsidRPr="0074238C" w:rsidTr="005C5AB0">
        <w:tc>
          <w:tcPr>
            <w:tcW w:w="92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5AB0" w:rsidRPr="0074238C" w:rsidRDefault="005C5AB0" w:rsidP="005C5AB0">
            <w:pPr>
              <w:pStyle w:val="ListParagraph"/>
              <w:numPr>
                <w:ilvl w:val="0"/>
                <w:numId w:val="28"/>
              </w:numPr>
              <w:ind w:left="459" w:hanging="425"/>
              <w:rPr>
                <w:bCs/>
                <w:szCs w:val="20"/>
              </w:rPr>
            </w:pPr>
            <w:r w:rsidRPr="0074238C">
              <w:rPr>
                <w:bCs/>
                <w:szCs w:val="20"/>
              </w:rPr>
              <w:t>Digitalizacija i razvoj IT kompetencija stanovništva</w:t>
            </w:r>
          </w:p>
          <w:p w:rsidR="005C5AB0" w:rsidRPr="0074238C" w:rsidRDefault="005C5AB0" w:rsidP="005C5AB0">
            <w:pPr>
              <w:pStyle w:val="ListParagraph"/>
              <w:numPr>
                <w:ilvl w:val="0"/>
                <w:numId w:val="28"/>
              </w:numPr>
              <w:ind w:left="459" w:hanging="425"/>
              <w:rPr>
                <w:bCs/>
                <w:szCs w:val="20"/>
              </w:rPr>
            </w:pPr>
            <w:r w:rsidRPr="0074238C">
              <w:rPr>
                <w:bCs/>
                <w:szCs w:val="20"/>
              </w:rPr>
              <w:t>Biznis zone</w:t>
            </w:r>
          </w:p>
          <w:p w:rsidR="005C5AB0" w:rsidRPr="0074238C" w:rsidRDefault="005C5AB0" w:rsidP="006A4215">
            <w:pPr>
              <w:pStyle w:val="ListParagraph"/>
              <w:numPr>
                <w:ilvl w:val="0"/>
                <w:numId w:val="28"/>
              </w:numPr>
              <w:ind w:left="459" w:hanging="425"/>
              <w:rPr>
                <w:bCs/>
                <w:szCs w:val="20"/>
              </w:rPr>
            </w:pPr>
            <w:r w:rsidRPr="0074238C">
              <w:rPr>
                <w:bCs/>
                <w:szCs w:val="20"/>
              </w:rPr>
              <w:t>Unapređenje preduzetništva i preduzetničko učenje</w:t>
            </w:r>
          </w:p>
        </w:tc>
      </w:tr>
    </w:tbl>
    <w:p w:rsidR="005C5AB0" w:rsidRPr="0074238C" w:rsidRDefault="005C5AB0" w:rsidP="00E3466A">
      <w:pPr>
        <w:rPr>
          <w:bCs/>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31"/>
      </w:tblGrid>
      <w:tr w:rsidR="005C5AB0" w:rsidRPr="0074238C" w:rsidTr="005C5AB0">
        <w:tc>
          <w:tcPr>
            <w:tcW w:w="9231" w:type="dxa"/>
            <w:shd w:val="clear" w:color="auto" w:fill="FFD966" w:themeFill="accent4" w:themeFillTint="99"/>
          </w:tcPr>
          <w:p w:rsidR="005C5AB0" w:rsidRPr="0074238C" w:rsidRDefault="005C5AB0" w:rsidP="005C5AB0">
            <w:pPr>
              <w:rPr>
                <w:bCs/>
                <w:szCs w:val="20"/>
              </w:rPr>
            </w:pPr>
            <w:r w:rsidRPr="0074238C">
              <w:rPr>
                <w:bCs/>
                <w:szCs w:val="20"/>
              </w:rPr>
              <w:t xml:space="preserve">KLJUČNI IZAZOVI </w:t>
            </w:r>
          </w:p>
        </w:tc>
      </w:tr>
      <w:tr w:rsidR="005C5AB0" w:rsidRPr="0074238C" w:rsidTr="005C5AB0">
        <w:tc>
          <w:tcPr>
            <w:tcW w:w="9231" w:type="dxa"/>
          </w:tcPr>
          <w:p w:rsidR="005C5AB0" w:rsidRPr="0074238C" w:rsidRDefault="005C5AB0" w:rsidP="005C5AB0">
            <w:pPr>
              <w:pStyle w:val="ListParagraph"/>
              <w:numPr>
                <w:ilvl w:val="0"/>
                <w:numId w:val="29"/>
              </w:numPr>
              <w:rPr>
                <w:szCs w:val="20"/>
              </w:rPr>
            </w:pPr>
            <w:r w:rsidRPr="0074238C">
              <w:rPr>
                <w:szCs w:val="20"/>
              </w:rPr>
              <w:t>Nedostatak finansija</w:t>
            </w:r>
          </w:p>
          <w:p w:rsidR="005C5AB0" w:rsidRPr="0074238C" w:rsidRDefault="005C5AB0" w:rsidP="005C5AB0">
            <w:pPr>
              <w:pStyle w:val="ListParagraph"/>
              <w:numPr>
                <w:ilvl w:val="0"/>
                <w:numId w:val="29"/>
              </w:numPr>
              <w:rPr>
                <w:szCs w:val="20"/>
              </w:rPr>
            </w:pPr>
            <w:r w:rsidRPr="0074238C">
              <w:rPr>
                <w:szCs w:val="20"/>
              </w:rPr>
              <w:t>Stavovi, predrasude mladih o zapošljavanju u privatnom sektoru</w:t>
            </w:r>
          </w:p>
          <w:p w:rsidR="005C5AB0" w:rsidRPr="0074238C" w:rsidRDefault="005C5AB0" w:rsidP="005C5AB0">
            <w:pPr>
              <w:pStyle w:val="ListParagraph"/>
              <w:numPr>
                <w:ilvl w:val="0"/>
                <w:numId w:val="29"/>
              </w:numPr>
              <w:spacing w:after="160" w:line="259" w:lineRule="auto"/>
              <w:rPr>
                <w:bCs/>
                <w:szCs w:val="20"/>
              </w:rPr>
            </w:pPr>
            <w:r w:rsidRPr="0074238C">
              <w:rPr>
                <w:szCs w:val="20"/>
              </w:rPr>
              <w:t>Rodni stereotipi po pitanju izbora zanimanja i kompetencija, naročito vezano za žene u biznisu (mali broj žena u IT sektoru, podjela zanimanja na „muška“ i „ženska“ itd.)</w:t>
            </w:r>
          </w:p>
        </w:tc>
      </w:tr>
    </w:tbl>
    <w:p w:rsidR="00E3466A" w:rsidRPr="00F03685" w:rsidRDefault="00E3466A" w:rsidP="00E3466A">
      <w:pPr>
        <w:pStyle w:val="Heading2"/>
        <w:spacing w:before="0"/>
        <w:rPr>
          <w:szCs w:val="24"/>
        </w:rPr>
      </w:pPr>
      <w:bookmarkStart w:id="88" w:name="_Toc60052380"/>
      <w:bookmarkStart w:id="89" w:name="_Toc60565213"/>
      <w:bookmarkStart w:id="90" w:name="_Toc61289790"/>
      <w:bookmarkStart w:id="91" w:name="_Toc63099505"/>
      <w:r w:rsidRPr="00F03685">
        <w:rPr>
          <w:szCs w:val="24"/>
        </w:rPr>
        <w:t>4.2 OBRAZOVANJE I OSPOSOBLJAVANJE RADNE SNAGE U OPŠTINI</w:t>
      </w:r>
      <w:bookmarkEnd w:id="88"/>
      <w:bookmarkEnd w:id="89"/>
      <w:bookmarkEnd w:id="90"/>
      <w:bookmarkEnd w:id="91"/>
      <w:r w:rsidRPr="00F03685">
        <w:rPr>
          <w:szCs w:val="24"/>
        </w:rPr>
        <w:t xml:space="preserve"> </w:t>
      </w:r>
    </w:p>
    <w:p w:rsidR="00E3466A" w:rsidRDefault="00E3466A" w:rsidP="00E3466A"/>
    <w:tbl>
      <w:tblPr>
        <w:tblStyle w:val="TableGrid"/>
        <w:tblW w:w="0" w:type="auto"/>
        <w:tblLook w:val="04A0"/>
      </w:tblPr>
      <w:tblGrid>
        <w:gridCol w:w="4525"/>
        <w:gridCol w:w="4525"/>
      </w:tblGrid>
      <w:tr w:rsidR="00E3466A" w:rsidTr="00AA426D">
        <w:trPr>
          <w:trHeight w:val="206"/>
        </w:trPr>
        <w:tc>
          <w:tcPr>
            <w:tcW w:w="4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966" w:themeFill="accent4" w:themeFillTint="99"/>
          </w:tcPr>
          <w:p w:rsidR="00E3466A" w:rsidRPr="002104BE" w:rsidRDefault="00E3466A" w:rsidP="00E3466A">
            <w:pPr>
              <w:jc w:val="center"/>
            </w:pPr>
            <w:r>
              <w:t>PREDNOSTI</w:t>
            </w:r>
          </w:p>
        </w:tc>
        <w:tc>
          <w:tcPr>
            <w:tcW w:w="4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966" w:themeFill="accent4" w:themeFillTint="99"/>
          </w:tcPr>
          <w:p w:rsidR="00E3466A" w:rsidRDefault="00E3466A" w:rsidP="00E3466A">
            <w:pPr>
              <w:jc w:val="center"/>
            </w:pPr>
            <w:r>
              <w:t>SLABOSTI</w:t>
            </w:r>
          </w:p>
        </w:tc>
      </w:tr>
      <w:tr w:rsidR="00E3466A" w:rsidTr="00AA426D">
        <w:trPr>
          <w:trHeight w:val="1451"/>
        </w:trPr>
        <w:tc>
          <w:tcPr>
            <w:tcW w:w="4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466A" w:rsidRDefault="00E3466A" w:rsidP="00E3466A">
            <w:pPr>
              <w:pStyle w:val="ListParagraph"/>
              <w:numPr>
                <w:ilvl w:val="0"/>
                <w:numId w:val="14"/>
              </w:numPr>
              <w:ind w:left="318"/>
            </w:pPr>
            <w:r>
              <w:t xml:space="preserve">Uvode se nova zanimanja vođena tehnološkim razvojem </w:t>
            </w:r>
          </w:p>
          <w:p w:rsidR="00E3466A" w:rsidRDefault="00E3466A" w:rsidP="00E3466A">
            <w:pPr>
              <w:pStyle w:val="ListParagraph"/>
              <w:numPr>
                <w:ilvl w:val="0"/>
                <w:numId w:val="14"/>
              </w:numPr>
              <w:ind w:left="318"/>
            </w:pPr>
            <w:r>
              <w:t xml:space="preserve">Program „Stručno je ključno“ je povećao </w:t>
            </w:r>
            <w:r w:rsidRPr="00B77C6B">
              <w:t>interesovanje za stručno i dualno obrazovanje i</w:t>
            </w:r>
            <w:r w:rsidRPr="00223030">
              <w:rPr>
                <w:b/>
                <w:color w:val="C00000"/>
              </w:rPr>
              <w:t xml:space="preserve"> </w:t>
            </w:r>
            <w:r>
              <w:t>ponudu stručnog kadra (npr. kuvara)</w:t>
            </w:r>
          </w:p>
          <w:p w:rsidR="00E3466A" w:rsidRDefault="00E3466A" w:rsidP="00E3466A">
            <w:pPr>
              <w:pStyle w:val="ListParagraph"/>
              <w:numPr>
                <w:ilvl w:val="0"/>
                <w:numId w:val="14"/>
              </w:numPr>
              <w:ind w:left="318"/>
            </w:pPr>
            <w:r>
              <w:t>Povećane mogućnosti za obrazovanje</w:t>
            </w:r>
          </w:p>
          <w:p w:rsidR="00E3466A" w:rsidRDefault="00E3466A" w:rsidP="00E3466A">
            <w:pPr>
              <w:pStyle w:val="ListParagraph"/>
              <w:numPr>
                <w:ilvl w:val="0"/>
                <w:numId w:val="14"/>
              </w:numPr>
              <w:ind w:left="318"/>
            </w:pPr>
            <w:r>
              <w:t xml:space="preserve">Dostupni programi podrške za samozapošljavanje od strane lokalne uprave </w:t>
            </w:r>
          </w:p>
          <w:p w:rsidR="00E3466A" w:rsidRDefault="00E3466A" w:rsidP="00E3466A">
            <w:pPr>
              <w:pStyle w:val="ListParagraph"/>
              <w:numPr>
                <w:ilvl w:val="0"/>
                <w:numId w:val="14"/>
              </w:numPr>
              <w:ind w:left="318"/>
            </w:pPr>
            <w:r>
              <w:t xml:space="preserve">Podrška razvoju preduzetničkog duha i motivacije </w:t>
            </w:r>
          </w:p>
          <w:p w:rsidR="00E3466A" w:rsidRDefault="00E3466A" w:rsidP="00E3466A">
            <w:pPr>
              <w:pStyle w:val="ListParagraph"/>
              <w:numPr>
                <w:ilvl w:val="0"/>
                <w:numId w:val="14"/>
              </w:numPr>
              <w:ind w:left="318"/>
            </w:pPr>
            <w:r>
              <w:t>Aktivno učešće organizacija civilnog društva u realizaciji programa obrazovanja odraslih</w:t>
            </w:r>
          </w:p>
          <w:p w:rsidR="00E3466A" w:rsidRDefault="00E3466A" w:rsidP="00E3466A">
            <w:pPr>
              <w:pStyle w:val="ListParagraph"/>
              <w:numPr>
                <w:ilvl w:val="0"/>
                <w:numId w:val="14"/>
              </w:numPr>
              <w:ind w:left="318"/>
            </w:pPr>
            <w:r>
              <w:t>Uspješni primjeri javno-privatnih partnerstava (Centar kompetencija Podgorica osnovan u saradnji sa Unijom poslodavaca Crne Gore)</w:t>
            </w:r>
          </w:p>
          <w:p w:rsidR="00E3466A" w:rsidRDefault="00E3466A" w:rsidP="00E3466A">
            <w:pPr>
              <w:pStyle w:val="ListParagraph"/>
              <w:numPr>
                <w:ilvl w:val="0"/>
                <w:numId w:val="14"/>
              </w:numPr>
              <w:ind w:left="318"/>
            </w:pPr>
            <w:r>
              <w:t xml:space="preserve">Spremnost poslodavaca da ulažu u programe obrazovanja </w:t>
            </w:r>
          </w:p>
          <w:p w:rsidR="00E3466A" w:rsidRDefault="00E3466A" w:rsidP="001568FF">
            <w:pPr>
              <w:pStyle w:val="ListParagraph"/>
              <w:numPr>
                <w:ilvl w:val="0"/>
                <w:numId w:val="14"/>
              </w:numPr>
              <w:ind w:left="318"/>
            </w:pPr>
            <w:r>
              <w:t>Administrativna podrška poslovnom ambijentu u opštini (Smart City Podgorica)</w:t>
            </w:r>
          </w:p>
        </w:tc>
        <w:tc>
          <w:tcPr>
            <w:tcW w:w="4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466A" w:rsidRDefault="00E3466A" w:rsidP="00E3466A">
            <w:pPr>
              <w:pStyle w:val="ListParagraph"/>
              <w:numPr>
                <w:ilvl w:val="0"/>
                <w:numId w:val="15"/>
              </w:numPr>
            </w:pPr>
            <w:r>
              <w:t xml:space="preserve">Hiperprodukcija visokoškolaca sa </w:t>
            </w:r>
          </w:p>
          <w:p w:rsidR="00E3466A" w:rsidRDefault="00E3466A" w:rsidP="00E3466A">
            <w:pPr>
              <w:pStyle w:val="ListParagraph"/>
              <w:ind w:left="360"/>
            </w:pPr>
            <w:r>
              <w:t>znanjima i vještinama koje nijesu usklađene sa potrebama tržišta rada</w:t>
            </w:r>
          </w:p>
          <w:p w:rsidR="00E3466A" w:rsidRDefault="00E3466A" w:rsidP="00E3466A">
            <w:pPr>
              <w:pStyle w:val="ListParagraph"/>
              <w:numPr>
                <w:ilvl w:val="0"/>
                <w:numId w:val="15"/>
              </w:numPr>
            </w:pPr>
            <w:r>
              <w:t>Kvalitet dostupnih programa obrazovanja</w:t>
            </w:r>
          </w:p>
          <w:p w:rsidR="00E3466A" w:rsidRDefault="00E3466A" w:rsidP="00E3466A">
            <w:pPr>
              <w:pStyle w:val="ListParagraph"/>
              <w:numPr>
                <w:ilvl w:val="0"/>
                <w:numId w:val="15"/>
              </w:numPr>
            </w:pPr>
            <w:r>
              <w:t>Nedovoljno inovirani programi obrazovanja, u skladu sa tržištem rada i potrebama nezaposlenih i zaposlenih osoba</w:t>
            </w:r>
          </w:p>
          <w:p w:rsidR="00E3466A" w:rsidRDefault="00E3466A" w:rsidP="00E3466A">
            <w:pPr>
              <w:pStyle w:val="ListParagraph"/>
              <w:numPr>
                <w:ilvl w:val="0"/>
                <w:numId w:val="15"/>
              </w:numPr>
            </w:pPr>
            <w:r>
              <w:t>Nedovoljno ulaganja u ključne kompetencije</w:t>
            </w:r>
          </w:p>
          <w:p w:rsidR="00E3466A" w:rsidRDefault="00E3466A" w:rsidP="00E3466A">
            <w:pPr>
              <w:pStyle w:val="ListParagraph"/>
              <w:numPr>
                <w:ilvl w:val="0"/>
                <w:numId w:val="15"/>
              </w:numPr>
            </w:pPr>
            <w:r>
              <w:t>Nedostatak /</w:t>
            </w:r>
            <w:r w:rsidRPr="00B77C6B">
              <w:t>slaba razmjena</w:t>
            </w:r>
            <w:r w:rsidRPr="008827A4">
              <w:rPr>
                <w:color w:val="C00000"/>
              </w:rPr>
              <w:t xml:space="preserve"> </w:t>
            </w:r>
            <w:r>
              <w:t>informacija: poslodavci ne dijele informacije a nezaposleni ih ne traže</w:t>
            </w:r>
          </w:p>
          <w:p w:rsidR="00E3466A" w:rsidRDefault="00E3466A" w:rsidP="00E3466A">
            <w:pPr>
              <w:pStyle w:val="ListParagraph"/>
              <w:numPr>
                <w:ilvl w:val="0"/>
                <w:numId w:val="15"/>
              </w:numPr>
            </w:pPr>
            <w:r>
              <w:t xml:space="preserve">Preklapanje projekata i programa različitih organizatora obrazovanja </w:t>
            </w:r>
          </w:p>
        </w:tc>
      </w:tr>
      <w:tr w:rsidR="00E3466A" w:rsidTr="00AA426D">
        <w:trPr>
          <w:trHeight w:val="212"/>
        </w:trPr>
        <w:tc>
          <w:tcPr>
            <w:tcW w:w="4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966" w:themeFill="accent4" w:themeFillTint="99"/>
          </w:tcPr>
          <w:p w:rsidR="00E3466A" w:rsidRDefault="00E3466A" w:rsidP="00E3466A">
            <w:pPr>
              <w:ind w:left="318"/>
              <w:jc w:val="center"/>
            </w:pPr>
            <w:r>
              <w:t>ŠANSE/MOGUĆNOSTI</w:t>
            </w:r>
          </w:p>
        </w:tc>
        <w:tc>
          <w:tcPr>
            <w:tcW w:w="4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966" w:themeFill="accent4" w:themeFillTint="99"/>
          </w:tcPr>
          <w:p w:rsidR="00E3466A" w:rsidRDefault="00E3466A" w:rsidP="00E3466A">
            <w:pPr>
              <w:jc w:val="center"/>
            </w:pPr>
            <w:r>
              <w:t>PRIJETNJE</w:t>
            </w:r>
          </w:p>
        </w:tc>
      </w:tr>
      <w:tr w:rsidR="00E3466A" w:rsidTr="00AA426D">
        <w:trPr>
          <w:trHeight w:val="1309"/>
        </w:trPr>
        <w:tc>
          <w:tcPr>
            <w:tcW w:w="4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466A" w:rsidRDefault="00E3466A" w:rsidP="00E3466A">
            <w:pPr>
              <w:pStyle w:val="ListParagraph"/>
              <w:numPr>
                <w:ilvl w:val="0"/>
                <w:numId w:val="16"/>
              </w:numPr>
              <w:ind w:left="318"/>
            </w:pPr>
            <w:r>
              <w:t>Promocija programa obrazovanja</w:t>
            </w:r>
          </w:p>
          <w:p w:rsidR="00E3466A" w:rsidRDefault="00E3466A" w:rsidP="00E3466A">
            <w:pPr>
              <w:pStyle w:val="ListParagraph"/>
              <w:numPr>
                <w:ilvl w:val="0"/>
                <w:numId w:val="16"/>
              </w:numPr>
              <w:ind w:left="318"/>
            </w:pPr>
            <w:r>
              <w:t xml:space="preserve">Bolja koordinacija projekata koji se bave obrazovanjem </w:t>
            </w:r>
          </w:p>
          <w:p w:rsidR="00E3466A" w:rsidRDefault="00E3466A" w:rsidP="00E3466A">
            <w:pPr>
              <w:pStyle w:val="ListParagraph"/>
              <w:numPr>
                <w:ilvl w:val="0"/>
                <w:numId w:val="16"/>
              </w:numPr>
              <w:ind w:left="318"/>
            </w:pPr>
            <w:r>
              <w:t>Mjere Vlade</w:t>
            </w:r>
          </w:p>
          <w:p w:rsidR="00E3466A" w:rsidRPr="003D62C0" w:rsidRDefault="00E3466A" w:rsidP="00E3466A">
            <w:pPr>
              <w:pStyle w:val="ListParagraph"/>
              <w:numPr>
                <w:ilvl w:val="0"/>
                <w:numId w:val="16"/>
              </w:numPr>
              <w:ind w:left="317" w:hanging="357"/>
            </w:pPr>
            <w:r>
              <w:t xml:space="preserve">Različiti dostupni fondovi </w:t>
            </w:r>
          </w:p>
        </w:tc>
        <w:tc>
          <w:tcPr>
            <w:tcW w:w="4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466A" w:rsidRDefault="00E3466A" w:rsidP="00E3466A">
            <w:pPr>
              <w:pStyle w:val="ListParagraph"/>
              <w:numPr>
                <w:ilvl w:val="0"/>
                <w:numId w:val="17"/>
              </w:numPr>
            </w:pPr>
            <w:r>
              <w:t>Pandemija</w:t>
            </w:r>
          </w:p>
          <w:p w:rsidR="00E3466A" w:rsidRDefault="00E3466A" w:rsidP="00E3466A">
            <w:pPr>
              <w:pStyle w:val="ListParagraph"/>
              <w:numPr>
                <w:ilvl w:val="0"/>
                <w:numId w:val="17"/>
              </w:numPr>
            </w:pPr>
            <w:r>
              <w:t xml:space="preserve">Odliv radne snage </w:t>
            </w:r>
          </w:p>
          <w:p w:rsidR="00E3466A" w:rsidRPr="003D62C0" w:rsidRDefault="00E3466A" w:rsidP="00E3466A"/>
          <w:p w:rsidR="00E3466A" w:rsidRDefault="00E3466A" w:rsidP="00E3466A"/>
          <w:p w:rsidR="00E3466A" w:rsidRPr="003D62C0" w:rsidRDefault="00E3466A" w:rsidP="00E3466A"/>
        </w:tc>
      </w:tr>
    </w:tbl>
    <w:p w:rsidR="00E3466A" w:rsidRDefault="00E3466A" w:rsidP="00E3466A">
      <w:pPr>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31"/>
      </w:tblGrid>
      <w:tr w:rsidR="005C5AB0" w:rsidRPr="005C5AB0" w:rsidTr="005C5AB0">
        <w:tc>
          <w:tcPr>
            <w:tcW w:w="9231" w:type="dxa"/>
            <w:shd w:val="clear" w:color="auto" w:fill="FFD966" w:themeFill="accent4" w:themeFillTint="99"/>
          </w:tcPr>
          <w:p w:rsidR="005C5AB0" w:rsidRPr="005C5AB0" w:rsidRDefault="005C5AB0" w:rsidP="005C5AB0">
            <w:pPr>
              <w:rPr>
                <w:szCs w:val="20"/>
              </w:rPr>
            </w:pPr>
            <w:r w:rsidRPr="005C5AB0">
              <w:rPr>
                <w:bCs/>
                <w:szCs w:val="20"/>
              </w:rPr>
              <w:t>PRIJEDLOZI ZA UNAPREĐENJE</w:t>
            </w:r>
          </w:p>
        </w:tc>
      </w:tr>
      <w:tr w:rsidR="005C5AB0" w:rsidRPr="005C5AB0" w:rsidTr="005C5AB0">
        <w:tc>
          <w:tcPr>
            <w:tcW w:w="9231" w:type="dxa"/>
          </w:tcPr>
          <w:p w:rsidR="005C5AB0" w:rsidRPr="005C5AB0" w:rsidRDefault="005C5AB0" w:rsidP="005C5AB0">
            <w:pPr>
              <w:pStyle w:val="ListParagraph"/>
              <w:numPr>
                <w:ilvl w:val="0"/>
                <w:numId w:val="32"/>
              </w:numPr>
              <w:rPr>
                <w:bCs/>
                <w:szCs w:val="20"/>
              </w:rPr>
            </w:pPr>
            <w:r w:rsidRPr="005C5AB0">
              <w:rPr>
                <w:bCs/>
                <w:szCs w:val="20"/>
              </w:rPr>
              <w:t>Dalji rad Centra kompetencija, kroz njegovo korišćenje u punom kapacitetu</w:t>
            </w:r>
            <w:r w:rsidR="00D47A07">
              <w:rPr>
                <w:bCs/>
                <w:szCs w:val="20"/>
              </w:rPr>
              <w:t>;</w:t>
            </w:r>
          </w:p>
          <w:p w:rsidR="005C5AB0" w:rsidRPr="005C5AB0" w:rsidRDefault="005C5AB0" w:rsidP="005C5AB0">
            <w:pPr>
              <w:pStyle w:val="ListParagraph"/>
              <w:numPr>
                <w:ilvl w:val="0"/>
                <w:numId w:val="32"/>
              </w:numPr>
              <w:rPr>
                <w:szCs w:val="20"/>
              </w:rPr>
            </w:pPr>
            <w:r w:rsidRPr="005C5AB0">
              <w:rPr>
                <w:bCs/>
                <w:szCs w:val="20"/>
              </w:rPr>
              <w:t>Poboljšanje promocije i prilagođavanje komunikacijskih kanala specifičnim ciljnim grupama; rad na podizanju svijesti i motivacije za učenje</w:t>
            </w:r>
            <w:r w:rsidR="00D47A07">
              <w:rPr>
                <w:bCs/>
                <w:szCs w:val="20"/>
              </w:rPr>
              <w:t>.</w:t>
            </w:r>
            <w:r w:rsidRPr="005C5AB0">
              <w:rPr>
                <w:bCs/>
                <w:szCs w:val="20"/>
              </w:rPr>
              <w:t xml:space="preserve">  </w:t>
            </w:r>
          </w:p>
        </w:tc>
      </w:tr>
    </w:tbl>
    <w:p w:rsidR="005C5AB0" w:rsidRPr="005C5AB0" w:rsidRDefault="005C5AB0" w:rsidP="00E3466A">
      <w:pPr>
        <w:rPr>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31"/>
      </w:tblGrid>
      <w:tr w:rsidR="005C5AB0" w:rsidRPr="005C5AB0" w:rsidTr="005C5AB0">
        <w:trPr>
          <w:trHeight w:val="249"/>
        </w:trPr>
        <w:tc>
          <w:tcPr>
            <w:tcW w:w="9231" w:type="dxa"/>
            <w:shd w:val="clear" w:color="auto" w:fill="FFD966" w:themeFill="accent4" w:themeFillTint="99"/>
          </w:tcPr>
          <w:p w:rsidR="005C5AB0" w:rsidRPr="005C5AB0" w:rsidRDefault="005C5AB0" w:rsidP="005C5AB0">
            <w:pPr>
              <w:rPr>
                <w:szCs w:val="20"/>
              </w:rPr>
            </w:pPr>
            <w:r w:rsidRPr="005C5AB0">
              <w:rPr>
                <w:bCs/>
                <w:szCs w:val="20"/>
              </w:rPr>
              <w:t xml:space="preserve">KLJUČNI IZAZOVI </w:t>
            </w:r>
          </w:p>
        </w:tc>
      </w:tr>
      <w:tr w:rsidR="005C5AB0" w:rsidRPr="005C5AB0" w:rsidTr="005C5AB0">
        <w:tc>
          <w:tcPr>
            <w:tcW w:w="9231" w:type="dxa"/>
          </w:tcPr>
          <w:p w:rsidR="005C5AB0" w:rsidRPr="005C5AB0" w:rsidRDefault="005C5AB0" w:rsidP="005C5AB0">
            <w:pPr>
              <w:pStyle w:val="ListParagraph"/>
              <w:numPr>
                <w:ilvl w:val="0"/>
                <w:numId w:val="33"/>
              </w:numPr>
              <w:ind w:left="318" w:hanging="284"/>
              <w:rPr>
                <w:szCs w:val="20"/>
              </w:rPr>
            </w:pPr>
            <w:r w:rsidRPr="005C5AB0">
              <w:rPr>
                <w:szCs w:val="20"/>
              </w:rPr>
              <w:t>Pandemija.</w:t>
            </w:r>
          </w:p>
          <w:p w:rsidR="005C5AB0" w:rsidRPr="005C5AB0" w:rsidRDefault="005C5AB0" w:rsidP="00E3466A">
            <w:pPr>
              <w:rPr>
                <w:szCs w:val="20"/>
              </w:rPr>
            </w:pPr>
          </w:p>
        </w:tc>
      </w:tr>
    </w:tbl>
    <w:p w:rsidR="005C5AB0" w:rsidRDefault="005C5AB0" w:rsidP="00E3466A">
      <w:pPr>
        <w:rPr>
          <w:sz w:val="22"/>
          <w:szCs w:val="22"/>
        </w:rPr>
      </w:pPr>
    </w:p>
    <w:p w:rsidR="00E3466A" w:rsidRDefault="00E3466A" w:rsidP="00E3466A">
      <w:pPr>
        <w:pStyle w:val="Heading2"/>
        <w:spacing w:before="0"/>
      </w:pPr>
      <w:bookmarkStart w:id="92" w:name="_Toc60052381"/>
      <w:bookmarkStart w:id="93" w:name="_Toc60565214"/>
      <w:bookmarkStart w:id="94" w:name="_Toc61289791"/>
      <w:bookmarkStart w:id="95" w:name="_Toc63099506"/>
      <w:r>
        <w:t>4.3</w:t>
      </w:r>
      <w:r w:rsidRPr="002047CF">
        <w:t xml:space="preserve"> SOCIJALNA INKLUZIJA/SOCIJALNA ISKLJUČENOST NA LOKALNOM TRŽIŠTU</w:t>
      </w:r>
      <w:bookmarkEnd w:id="92"/>
      <w:bookmarkEnd w:id="93"/>
      <w:bookmarkEnd w:id="94"/>
      <w:bookmarkEnd w:id="95"/>
      <w:r w:rsidRPr="002047CF">
        <w:t xml:space="preserve"> </w:t>
      </w:r>
    </w:p>
    <w:p w:rsidR="00E3466A" w:rsidRDefault="00E3466A" w:rsidP="00E3466A">
      <w:pPr>
        <w:pStyle w:val="Heading2"/>
        <w:spacing w:before="0"/>
      </w:pPr>
      <w:bookmarkStart w:id="96" w:name="_Toc60052382"/>
      <w:bookmarkStart w:id="97" w:name="_Toc60565215"/>
      <w:bookmarkStart w:id="98" w:name="_Toc61289792"/>
      <w:bookmarkStart w:id="99" w:name="_Toc63099507"/>
      <w:r w:rsidRPr="002047CF">
        <w:t>RADA</w:t>
      </w:r>
      <w:bookmarkEnd w:id="96"/>
      <w:bookmarkEnd w:id="97"/>
      <w:bookmarkEnd w:id="98"/>
      <w:bookmarkEnd w:id="99"/>
    </w:p>
    <w:p w:rsidR="00E3466A" w:rsidRDefault="00E3466A" w:rsidP="00E3466A">
      <w:pPr>
        <w:rPr>
          <w:b/>
          <w:highlight w:val="yellow"/>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531"/>
        <w:gridCol w:w="4531"/>
      </w:tblGrid>
      <w:tr w:rsidR="00E3466A" w:rsidTr="00AA426D">
        <w:trPr>
          <w:trHeight w:val="233"/>
        </w:trPr>
        <w:tc>
          <w:tcPr>
            <w:tcW w:w="4531" w:type="dxa"/>
            <w:shd w:val="clear" w:color="auto" w:fill="FFD966" w:themeFill="accent4" w:themeFillTint="99"/>
          </w:tcPr>
          <w:p w:rsidR="00E3466A" w:rsidRPr="002104BE" w:rsidRDefault="00E3466A" w:rsidP="00E3466A">
            <w:pPr>
              <w:jc w:val="center"/>
            </w:pPr>
            <w:r>
              <w:t>PREDNOSTI</w:t>
            </w:r>
          </w:p>
        </w:tc>
        <w:tc>
          <w:tcPr>
            <w:tcW w:w="4531" w:type="dxa"/>
            <w:shd w:val="clear" w:color="auto" w:fill="FFD966" w:themeFill="accent4" w:themeFillTint="99"/>
          </w:tcPr>
          <w:p w:rsidR="00E3466A" w:rsidRDefault="00E3466A" w:rsidP="00E3466A">
            <w:pPr>
              <w:jc w:val="center"/>
            </w:pPr>
            <w:r>
              <w:t>SLABOSTI</w:t>
            </w:r>
          </w:p>
        </w:tc>
      </w:tr>
      <w:tr w:rsidR="00E3466A" w:rsidTr="00AA426D">
        <w:trPr>
          <w:trHeight w:val="693"/>
        </w:trPr>
        <w:tc>
          <w:tcPr>
            <w:tcW w:w="4531" w:type="dxa"/>
          </w:tcPr>
          <w:p w:rsidR="00E3466A" w:rsidRPr="003462C3" w:rsidRDefault="00E3466A" w:rsidP="00E3466A">
            <w:pPr>
              <w:pStyle w:val="ListParagraph"/>
              <w:numPr>
                <w:ilvl w:val="0"/>
                <w:numId w:val="5"/>
              </w:numPr>
              <w:jc w:val="both"/>
            </w:pPr>
            <w:r w:rsidRPr="003462C3">
              <w:t xml:space="preserve">Strateški okvir </w:t>
            </w:r>
            <w:r w:rsidRPr="003462C3">
              <w:rPr>
                <w:szCs w:val="20"/>
              </w:rPr>
              <w:t>(Lokalni plan za unapređenje socijalne inkluzije i razvoj usluga socijalne i dječje zaštite 2020-2023; Akcioni plan za postizanje rodne ravnopravnosti; Akcioni plan za mlade; Strateški plan razvoja Glavnog grada Podgorica</w:t>
            </w:r>
            <w:r w:rsidR="00D47A07" w:rsidRPr="003462C3">
              <w:rPr>
                <w:szCs w:val="20"/>
              </w:rPr>
              <w:t xml:space="preserve"> itd</w:t>
            </w:r>
            <w:r w:rsidRPr="003462C3">
              <w:rPr>
                <w:szCs w:val="20"/>
              </w:rPr>
              <w:t>.)</w:t>
            </w:r>
          </w:p>
          <w:p w:rsidR="00E3466A" w:rsidRPr="003462C3" w:rsidRDefault="00E3466A" w:rsidP="00E3466A">
            <w:pPr>
              <w:pStyle w:val="ListParagraph"/>
              <w:numPr>
                <w:ilvl w:val="0"/>
                <w:numId w:val="5"/>
              </w:numPr>
              <w:jc w:val="both"/>
            </w:pPr>
            <w:r w:rsidRPr="003462C3">
              <w:t xml:space="preserve">Razvijena privreda kao generator novih radnih mjesta i mogućnosti </w:t>
            </w:r>
          </w:p>
          <w:p w:rsidR="00E3466A" w:rsidRPr="003462C3" w:rsidRDefault="00E3466A" w:rsidP="00E3466A">
            <w:pPr>
              <w:pStyle w:val="ListParagraph"/>
              <w:numPr>
                <w:ilvl w:val="0"/>
                <w:numId w:val="5"/>
              </w:numPr>
              <w:jc w:val="both"/>
            </w:pPr>
            <w:r w:rsidRPr="003462C3">
              <w:t>Institucije (Centar za socijalni rad; Zavod za zapošljavanje; dnevni centri za lica sa invaliditetom</w:t>
            </w:r>
            <w:r w:rsidR="003462C3" w:rsidRPr="003462C3">
              <w:t xml:space="preserve">, </w:t>
            </w:r>
            <w:r w:rsidR="004C5F2F" w:rsidRPr="003462C3">
              <w:t>itd.)</w:t>
            </w:r>
          </w:p>
          <w:p w:rsidR="00E3466A" w:rsidRPr="003462C3" w:rsidRDefault="00E3466A" w:rsidP="00E3466A">
            <w:pPr>
              <w:pStyle w:val="ListParagraph"/>
              <w:numPr>
                <w:ilvl w:val="0"/>
                <w:numId w:val="5"/>
              </w:numPr>
              <w:jc w:val="both"/>
            </w:pPr>
            <w:r w:rsidRPr="003462C3">
              <w:t>Podrška lokalne uprave ranjivim grupama</w:t>
            </w:r>
          </w:p>
          <w:p w:rsidR="00E3466A" w:rsidRPr="003462C3" w:rsidRDefault="00E3466A" w:rsidP="00E3466A">
            <w:pPr>
              <w:pStyle w:val="ListParagraph"/>
              <w:numPr>
                <w:ilvl w:val="0"/>
                <w:numId w:val="5"/>
              </w:numPr>
              <w:jc w:val="both"/>
            </w:pPr>
            <w:r w:rsidRPr="003462C3">
              <w:t>Razvijen civilni sektor (brojne inicijative nevladinih organizacija)</w:t>
            </w:r>
          </w:p>
          <w:p w:rsidR="00E3466A" w:rsidRPr="003462C3" w:rsidRDefault="00E3466A" w:rsidP="00E3466A">
            <w:pPr>
              <w:pStyle w:val="ListParagraph"/>
              <w:numPr>
                <w:ilvl w:val="0"/>
                <w:numId w:val="5"/>
              </w:numPr>
              <w:jc w:val="both"/>
            </w:pPr>
            <w:r w:rsidRPr="003462C3">
              <w:t>Opštinski javni radovi (kroz koje se uključuju osobe u nepovoljnom položaju na tržištu rada)</w:t>
            </w:r>
          </w:p>
          <w:p w:rsidR="00E3466A" w:rsidRPr="003462C3" w:rsidRDefault="00E3466A" w:rsidP="00E3466A">
            <w:pPr>
              <w:pStyle w:val="ListParagraph"/>
              <w:numPr>
                <w:ilvl w:val="0"/>
                <w:numId w:val="5"/>
              </w:numPr>
              <w:jc w:val="both"/>
            </w:pPr>
            <w:r w:rsidRPr="003462C3">
              <w:t>Besplatno biznis savjetovalište za žene i mlade</w:t>
            </w:r>
          </w:p>
          <w:p w:rsidR="00E3466A" w:rsidRPr="003462C3" w:rsidRDefault="00E3466A" w:rsidP="00E3466A">
            <w:pPr>
              <w:pStyle w:val="ListParagraph"/>
              <w:numPr>
                <w:ilvl w:val="0"/>
                <w:numId w:val="5"/>
              </w:numPr>
              <w:jc w:val="both"/>
            </w:pPr>
            <w:r w:rsidRPr="003462C3">
              <w:t>Primjer dobre saradnje CSR i Biroa rada u Golubovcima</w:t>
            </w:r>
          </w:p>
        </w:tc>
        <w:tc>
          <w:tcPr>
            <w:tcW w:w="4531" w:type="dxa"/>
          </w:tcPr>
          <w:p w:rsidR="00E3466A" w:rsidRPr="003462C3" w:rsidRDefault="00E3466A" w:rsidP="00E3466A">
            <w:pPr>
              <w:pStyle w:val="ListParagraph"/>
              <w:numPr>
                <w:ilvl w:val="0"/>
                <w:numId w:val="5"/>
              </w:numPr>
            </w:pPr>
            <w:r w:rsidRPr="003462C3">
              <w:t>Nedovoljno efikasno sprovođenje strateških dokumenata</w:t>
            </w:r>
          </w:p>
          <w:p w:rsidR="00E3466A" w:rsidRPr="003462C3" w:rsidRDefault="00E3466A" w:rsidP="00E3466A">
            <w:pPr>
              <w:pStyle w:val="ListParagraph"/>
              <w:numPr>
                <w:ilvl w:val="0"/>
                <w:numId w:val="5"/>
              </w:numPr>
            </w:pPr>
            <w:r w:rsidRPr="003462C3">
              <w:t>Nedovoljna saradnja između javnog, civilnog i privatnog sektora</w:t>
            </w:r>
          </w:p>
          <w:p w:rsidR="00E3466A" w:rsidRPr="003462C3" w:rsidRDefault="00E3466A" w:rsidP="00E3466A">
            <w:pPr>
              <w:pStyle w:val="ListParagraph"/>
              <w:numPr>
                <w:ilvl w:val="0"/>
                <w:numId w:val="5"/>
              </w:numPr>
            </w:pPr>
            <w:r w:rsidRPr="003462C3">
              <w:t>Nedovoljna razmjena informacija</w:t>
            </w:r>
          </w:p>
          <w:p w:rsidR="00E3466A" w:rsidRPr="003462C3" w:rsidRDefault="00E3466A" w:rsidP="00E3466A">
            <w:pPr>
              <w:pStyle w:val="ListParagraph"/>
              <w:numPr>
                <w:ilvl w:val="0"/>
                <w:numId w:val="5"/>
              </w:numPr>
            </w:pPr>
            <w:r w:rsidRPr="003462C3">
              <w:t>Nedovoljno inicijativa za povećanje kompetencija ranjivih grupa</w:t>
            </w:r>
          </w:p>
          <w:p w:rsidR="00E3466A" w:rsidRPr="003462C3" w:rsidRDefault="00E3466A" w:rsidP="00E3466A">
            <w:pPr>
              <w:pStyle w:val="ListParagraph"/>
              <w:numPr>
                <w:ilvl w:val="0"/>
                <w:numId w:val="5"/>
              </w:numPr>
            </w:pPr>
            <w:r w:rsidRPr="003462C3">
              <w:t>Stereotipi i predrasude, kako kod poslodavaca tako i kod nezaposlenih lica u nepovoljnom položaju na tržištu rada</w:t>
            </w:r>
          </w:p>
          <w:p w:rsidR="00E3466A" w:rsidRPr="003462C3" w:rsidRDefault="00E3466A" w:rsidP="00E3466A">
            <w:pPr>
              <w:pStyle w:val="ListParagraph"/>
              <w:numPr>
                <w:ilvl w:val="0"/>
                <w:numId w:val="5"/>
              </w:numPr>
            </w:pPr>
            <w:r w:rsidRPr="003462C3">
              <w:t>Veliki broj ranjivih grupa (LSI, RE, nezaposlena lica starosti preko 50 godina itd.)</w:t>
            </w:r>
          </w:p>
        </w:tc>
      </w:tr>
      <w:tr w:rsidR="00E3466A" w:rsidTr="00AA426D">
        <w:tc>
          <w:tcPr>
            <w:tcW w:w="4531" w:type="dxa"/>
            <w:shd w:val="clear" w:color="auto" w:fill="FFD966" w:themeFill="accent4" w:themeFillTint="99"/>
          </w:tcPr>
          <w:p w:rsidR="00E3466A" w:rsidRDefault="00E3466A" w:rsidP="00E3466A">
            <w:pPr>
              <w:jc w:val="center"/>
            </w:pPr>
            <w:r>
              <w:t>ŠANSE/MOGUĆNOSTI</w:t>
            </w:r>
          </w:p>
        </w:tc>
        <w:tc>
          <w:tcPr>
            <w:tcW w:w="4531" w:type="dxa"/>
            <w:shd w:val="clear" w:color="auto" w:fill="FFD966" w:themeFill="accent4" w:themeFillTint="99"/>
          </w:tcPr>
          <w:p w:rsidR="00E3466A" w:rsidRDefault="00E3466A" w:rsidP="00E3466A">
            <w:pPr>
              <w:jc w:val="center"/>
            </w:pPr>
            <w:r>
              <w:t>PRIJETNJE</w:t>
            </w:r>
          </w:p>
        </w:tc>
      </w:tr>
      <w:tr w:rsidR="00E3466A" w:rsidTr="00AA426D">
        <w:trPr>
          <w:trHeight w:val="547"/>
        </w:trPr>
        <w:tc>
          <w:tcPr>
            <w:tcW w:w="4531" w:type="dxa"/>
          </w:tcPr>
          <w:p w:rsidR="00E3466A" w:rsidRDefault="00E3466A" w:rsidP="00E3466A">
            <w:pPr>
              <w:pStyle w:val="ListParagraph"/>
              <w:numPr>
                <w:ilvl w:val="0"/>
                <w:numId w:val="18"/>
              </w:numPr>
              <w:jc w:val="both"/>
            </w:pPr>
            <w:r>
              <w:t>EU i drugi donatori</w:t>
            </w:r>
          </w:p>
          <w:p w:rsidR="00E3466A" w:rsidRDefault="00E3466A" w:rsidP="00E3466A">
            <w:pPr>
              <w:pStyle w:val="ListParagraph"/>
              <w:numPr>
                <w:ilvl w:val="0"/>
                <w:numId w:val="18"/>
              </w:numPr>
              <w:jc w:val="both"/>
            </w:pPr>
            <w:r>
              <w:t>Mjere za razvoj poljoprivrede</w:t>
            </w:r>
          </w:p>
          <w:p w:rsidR="00E3466A" w:rsidRPr="00A87DF0" w:rsidRDefault="00E3466A" w:rsidP="00C60E4D">
            <w:pPr>
              <w:pStyle w:val="ListParagraph"/>
              <w:numPr>
                <w:ilvl w:val="0"/>
                <w:numId w:val="18"/>
              </w:numPr>
              <w:jc w:val="both"/>
            </w:pPr>
            <w:r>
              <w:t xml:space="preserve">Mjere aktivne politike zapošljavanja na nacionalnom nivou </w:t>
            </w:r>
          </w:p>
        </w:tc>
        <w:tc>
          <w:tcPr>
            <w:tcW w:w="4531" w:type="dxa"/>
          </w:tcPr>
          <w:p w:rsidR="00E3466A" w:rsidRDefault="00E3466A" w:rsidP="00E3466A">
            <w:pPr>
              <w:pStyle w:val="ListParagraph"/>
              <w:numPr>
                <w:ilvl w:val="0"/>
                <w:numId w:val="4"/>
              </w:numPr>
              <w:rPr>
                <w:lang w:val="en-US"/>
              </w:rPr>
            </w:pPr>
            <w:r>
              <w:rPr>
                <w:lang w:val="en-US"/>
              </w:rPr>
              <w:t xml:space="preserve">Pandemija </w:t>
            </w:r>
          </w:p>
          <w:p w:rsidR="00E3466A" w:rsidRPr="00744F2C" w:rsidRDefault="00E3466A" w:rsidP="00E3466A">
            <w:pPr>
              <w:pStyle w:val="ListParagraph"/>
              <w:numPr>
                <w:ilvl w:val="0"/>
                <w:numId w:val="4"/>
              </w:numPr>
              <w:rPr>
                <w:lang w:val="en-US"/>
              </w:rPr>
            </w:pPr>
            <w:r>
              <w:rPr>
                <w:lang w:val="en-US"/>
              </w:rPr>
              <w:t>Finansijska situacija</w:t>
            </w:r>
          </w:p>
        </w:tc>
      </w:tr>
    </w:tbl>
    <w:p w:rsidR="005C5AB0" w:rsidRDefault="005C5AB0" w:rsidP="00E3466A">
      <w:pPr>
        <w:rPr>
          <w:bCs/>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31"/>
      </w:tblGrid>
      <w:tr w:rsidR="005C5AB0" w:rsidRPr="005C5AB0" w:rsidTr="005C5AB0">
        <w:tc>
          <w:tcPr>
            <w:tcW w:w="9231" w:type="dxa"/>
            <w:shd w:val="clear" w:color="auto" w:fill="FFD966" w:themeFill="accent4" w:themeFillTint="99"/>
          </w:tcPr>
          <w:p w:rsidR="005C5AB0" w:rsidRPr="005C5AB0" w:rsidRDefault="005C5AB0" w:rsidP="00E3466A">
            <w:pPr>
              <w:rPr>
                <w:bCs/>
                <w:szCs w:val="20"/>
              </w:rPr>
            </w:pPr>
            <w:r w:rsidRPr="005C5AB0">
              <w:rPr>
                <w:bCs/>
                <w:szCs w:val="20"/>
              </w:rPr>
              <w:t>PRIJEDLOZI ZA UNAPREĐENJE</w:t>
            </w:r>
          </w:p>
        </w:tc>
      </w:tr>
      <w:tr w:rsidR="005C5AB0" w:rsidRPr="005C5AB0" w:rsidTr="005C5AB0">
        <w:tc>
          <w:tcPr>
            <w:tcW w:w="9231" w:type="dxa"/>
          </w:tcPr>
          <w:p w:rsidR="005C5AB0" w:rsidRPr="005C5AB0" w:rsidRDefault="005C5AB0" w:rsidP="005C5AB0">
            <w:pPr>
              <w:pStyle w:val="ListParagraph"/>
              <w:numPr>
                <w:ilvl w:val="0"/>
                <w:numId w:val="39"/>
              </w:numPr>
              <w:rPr>
                <w:szCs w:val="20"/>
              </w:rPr>
            </w:pPr>
            <w:r w:rsidRPr="005C5AB0">
              <w:rPr>
                <w:szCs w:val="20"/>
              </w:rPr>
              <w:t>Povećanje kapaciteta za privlačenje EU fondova</w:t>
            </w:r>
          </w:p>
          <w:p w:rsidR="005C5AB0" w:rsidRPr="005C5AB0" w:rsidRDefault="005C5AB0" w:rsidP="005C5AB0">
            <w:pPr>
              <w:pStyle w:val="ListParagraph"/>
              <w:numPr>
                <w:ilvl w:val="0"/>
                <w:numId w:val="39"/>
              </w:numPr>
              <w:rPr>
                <w:szCs w:val="20"/>
              </w:rPr>
            </w:pPr>
            <w:r w:rsidRPr="005C5AB0">
              <w:rPr>
                <w:szCs w:val="20"/>
              </w:rPr>
              <w:t>Poboljšanje saradnje (međuinstitucionalna saradnja, zatim saradnja sa privredom i NVO)</w:t>
            </w:r>
          </w:p>
          <w:p w:rsidR="005C5AB0" w:rsidRPr="005C5AB0" w:rsidRDefault="005C5AB0" w:rsidP="005C5AB0">
            <w:pPr>
              <w:pStyle w:val="ListParagraph"/>
              <w:numPr>
                <w:ilvl w:val="0"/>
                <w:numId w:val="39"/>
              </w:numPr>
              <w:rPr>
                <w:bCs/>
                <w:szCs w:val="20"/>
              </w:rPr>
            </w:pPr>
            <w:r w:rsidRPr="005C5AB0">
              <w:rPr>
                <w:szCs w:val="20"/>
              </w:rPr>
              <w:t>Povećanje vidljivosti Centra kompetencija (kroz inteziviranje saradnje sa predstavnicima organizacija koje rade sa ranjivim grupama</w:t>
            </w:r>
            <w:r w:rsidR="00133BA2">
              <w:rPr>
                <w:szCs w:val="20"/>
              </w:rPr>
              <w:t>)</w:t>
            </w:r>
          </w:p>
        </w:tc>
      </w:tr>
    </w:tbl>
    <w:p w:rsidR="005C5AB0" w:rsidRPr="005C5AB0" w:rsidRDefault="005C5AB0" w:rsidP="00E3466A">
      <w:pPr>
        <w:rPr>
          <w:bCs/>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31"/>
      </w:tblGrid>
      <w:tr w:rsidR="005C5AB0" w:rsidRPr="005C5AB0" w:rsidTr="005C5AB0">
        <w:trPr>
          <w:trHeight w:val="171"/>
        </w:trPr>
        <w:tc>
          <w:tcPr>
            <w:tcW w:w="9231" w:type="dxa"/>
            <w:shd w:val="clear" w:color="auto" w:fill="FFD966" w:themeFill="accent4" w:themeFillTint="99"/>
          </w:tcPr>
          <w:p w:rsidR="005C5AB0" w:rsidRPr="005C5AB0" w:rsidRDefault="0074238C" w:rsidP="005C5AB0">
            <w:pPr>
              <w:rPr>
                <w:bCs/>
                <w:szCs w:val="20"/>
              </w:rPr>
            </w:pPr>
            <w:r>
              <w:rPr>
                <w:bCs/>
                <w:szCs w:val="20"/>
              </w:rPr>
              <w:t xml:space="preserve">KLJUČNI </w:t>
            </w:r>
            <w:r w:rsidR="005C5AB0" w:rsidRPr="005C5AB0">
              <w:rPr>
                <w:bCs/>
                <w:szCs w:val="20"/>
              </w:rPr>
              <w:t xml:space="preserve">IZAZOVI </w:t>
            </w:r>
          </w:p>
        </w:tc>
      </w:tr>
      <w:tr w:rsidR="005C5AB0" w:rsidRPr="005C5AB0" w:rsidTr="005C5AB0">
        <w:tc>
          <w:tcPr>
            <w:tcW w:w="9231" w:type="dxa"/>
          </w:tcPr>
          <w:p w:rsidR="005C5AB0" w:rsidRPr="005C5AB0" w:rsidRDefault="005C5AB0" w:rsidP="005C5AB0">
            <w:pPr>
              <w:pStyle w:val="ListParagraph"/>
              <w:numPr>
                <w:ilvl w:val="0"/>
                <w:numId w:val="19"/>
              </w:numPr>
              <w:rPr>
                <w:szCs w:val="20"/>
              </w:rPr>
            </w:pPr>
            <w:r w:rsidRPr="005C5AB0">
              <w:rPr>
                <w:szCs w:val="20"/>
              </w:rPr>
              <w:t xml:space="preserve">Motivacija zaposlenih </w:t>
            </w:r>
          </w:p>
          <w:p w:rsidR="005C5AB0" w:rsidRPr="005C5AB0" w:rsidRDefault="005C5AB0" w:rsidP="005C5AB0">
            <w:pPr>
              <w:pStyle w:val="ListParagraph"/>
              <w:numPr>
                <w:ilvl w:val="0"/>
                <w:numId w:val="19"/>
              </w:numPr>
              <w:rPr>
                <w:bCs/>
                <w:szCs w:val="20"/>
              </w:rPr>
            </w:pPr>
            <w:r w:rsidRPr="005C5AB0">
              <w:rPr>
                <w:szCs w:val="20"/>
              </w:rPr>
              <w:t xml:space="preserve">Nedostatak finansija </w:t>
            </w:r>
          </w:p>
        </w:tc>
      </w:tr>
    </w:tbl>
    <w:p w:rsidR="005C5AB0" w:rsidRDefault="005C5AB0" w:rsidP="00E3466A">
      <w:pPr>
        <w:rPr>
          <w:bCs/>
          <w:sz w:val="22"/>
          <w:szCs w:val="22"/>
        </w:rPr>
      </w:pPr>
    </w:p>
    <w:p w:rsidR="001568FF" w:rsidRDefault="001568FF" w:rsidP="00E3466A">
      <w:pPr>
        <w:rPr>
          <w:bCs/>
          <w:sz w:val="22"/>
          <w:szCs w:val="22"/>
        </w:rPr>
      </w:pPr>
    </w:p>
    <w:p w:rsidR="00F67634" w:rsidRDefault="00F67634" w:rsidP="00E3466A">
      <w:pPr>
        <w:rPr>
          <w:bCs/>
          <w:sz w:val="22"/>
          <w:szCs w:val="22"/>
        </w:rPr>
      </w:pPr>
    </w:p>
    <w:p w:rsidR="00F67634" w:rsidRDefault="00F67634" w:rsidP="00E3466A">
      <w:pPr>
        <w:rPr>
          <w:bCs/>
          <w:sz w:val="22"/>
          <w:szCs w:val="22"/>
        </w:rPr>
      </w:pPr>
    </w:p>
    <w:p w:rsidR="00E3466A" w:rsidRPr="0037465D" w:rsidRDefault="00E3466A" w:rsidP="00E3466A">
      <w:pPr>
        <w:pStyle w:val="Heading2"/>
        <w:spacing w:before="0"/>
      </w:pPr>
      <w:bookmarkStart w:id="100" w:name="_Toc60052383"/>
      <w:bookmarkStart w:id="101" w:name="_Toc60565216"/>
      <w:bookmarkStart w:id="102" w:name="_Toc61289793"/>
      <w:bookmarkStart w:id="103" w:name="_Toc63099508"/>
      <w:r>
        <w:lastRenderedPageBreak/>
        <w:t>4</w:t>
      </w:r>
      <w:r w:rsidRPr="0037465D">
        <w:t>.</w:t>
      </w:r>
      <w:r>
        <w:t>4</w:t>
      </w:r>
      <w:r w:rsidRPr="0037465D">
        <w:t xml:space="preserve"> KLJUČNI PROBLEMI TRŽIŠTA RADA </w:t>
      </w:r>
      <w:bookmarkEnd w:id="100"/>
      <w:r>
        <w:t>PODGORICE</w:t>
      </w:r>
      <w:bookmarkEnd w:id="101"/>
      <w:bookmarkEnd w:id="102"/>
      <w:bookmarkEnd w:id="103"/>
    </w:p>
    <w:p w:rsidR="00E3466A" w:rsidRDefault="00E3466A" w:rsidP="00E3466A">
      <w:pPr>
        <w:pStyle w:val="Heading2"/>
        <w:spacing w:before="0"/>
        <w:rPr>
          <w:highlight w:val="yellow"/>
        </w:rPr>
      </w:pPr>
    </w:p>
    <w:p w:rsidR="00E3466A" w:rsidRDefault="00E3466A" w:rsidP="00E3466A">
      <w:pPr>
        <w:rPr>
          <w:bCs/>
          <w:sz w:val="22"/>
          <w:szCs w:val="22"/>
        </w:rPr>
      </w:pPr>
      <w:r w:rsidRPr="00611B5B">
        <w:rPr>
          <w:bCs/>
          <w:sz w:val="22"/>
          <w:szCs w:val="22"/>
        </w:rPr>
        <w:t>Na osnovu analize tržišta rada i prikupljenih sekundarnih podataka, te SWOT analize, definisani su sljedeći ključni problemi tržišta rada Glavnog grada Podgorice:</w:t>
      </w:r>
    </w:p>
    <w:p w:rsidR="00E3466A" w:rsidRPr="00611B5B" w:rsidRDefault="00E3466A" w:rsidP="00E3466A">
      <w:pPr>
        <w:rPr>
          <w:bCs/>
          <w:sz w:val="22"/>
          <w:szCs w:val="22"/>
        </w:rPr>
      </w:pPr>
    </w:p>
    <w:p w:rsidR="00E3466A" w:rsidRPr="00385224" w:rsidRDefault="00E3466A" w:rsidP="00E3466A">
      <w:pPr>
        <w:pStyle w:val="ListParagraph"/>
        <w:numPr>
          <w:ilvl w:val="0"/>
          <w:numId w:val="8"/>
        </w:numPr>
        <w:rPr>
          <w:bCs/>
          <w:sz w:val="22"/>
          <w:szCs w:val="22"/>
          <w:lang w:val="sl-SI"/>
        </w:rPr>
      </w:pPr>
      <w:r w:rsidRPr="00611B5B">
        <w:rPr>
          <w:bCs/>
          <w:sz w:val="22"/>
          <w:szCs w:val="22"/>
          <w:lang w:val="sl-SI"/>
        </w:rPr>
        <w:t>Nedostatak znanja, vje</w:t>
      </w:r>
      <w:r w:rsidRPr="00611B5B">
        <w:rPr>
          <w:bCs/>
          <w:sz w:val="22"/>
          <w:szCs w:val="22"/>
          <w:lang w:val="bs-Latn-BA"/>
        </w:rPr>
        <w:t>ština i kompetencija za ekonomski rast i razvoj</w:t>
      </w:r>
      <w:r w:rsidR="005C5AB0">
        <w:rPr>
          <w:bCs/>
          <w:sz w:val="22"/>
          <w:szCs w:val="22"/>
          <w:lang w:val="bs-Latn-BA"/>
        </w:rPr>
        <w:t>;</w:t>
      </w:r>
    </w:p>
    <w:p w:rsidR="00385224" w:rsidRPr="00385224" w:rsidRDefault="00385224" w:rsidP="00385224">
      <w:pPr>
        <w:ind w:left="360"/>
        <w:rPr>
          <w:bCs/>
          <w:sz w:val="22"/>
          <w:szCs w:val="22"/>
          <w:lang w:val="sl-SI"/>
        </w:rPr>
      </w:pPr>
    </w:p>
    <w:p w:rsidR="00E3466A" w:rsidRPr="00385224" w:rsidRDefault="00E3466A" w:rsidP="00E3466A">
      <w:pPr>
        <w:pStyle w:val="ListParagraph"/>
        <w:numPr>
          <w:ilvl w:val="0"/>
          <w:numId w:val="8"/>
        </w:numPr>
        <w:rPr>
          <w:bCs/>
          <w:sz w:val="22"/>
          <w:szCs w:val="22"/>
          <w:lang w:val="sl-SI"/>
        </w:rPr>
      </w:pPr>
      <w:r w:rsidRPr="00611B5B">
        <w:rPr>
          <w:bCs/>
          <w:sz w:val="22"/>
          <w:szCs w:val="22"/>
          <w:lang w:val="bs-Latn-BA"/>
        </w:rPr>
        <w:t>Nedovoljno razvijeno preduzetništvo</w:t>
      </w:r>
      <w:r w:rsidR="005C5AB0">
        <w:rPr>
          <w:bCs/>
          <w:sz w:val="22"/>
          <w:szCs w:val="22"/>
          <w:lang w:val="bs-Latn-BA"/>
        </w:rPr>
        <w:t>;</w:t>
      </w:r>
    </w:p>
    <w:p w:rsidR="00385224" w:rsidRPr="00385224" w:rsidRDefault="00385224" w:rsidP="00385224">
      <w:pPr>
        <w:pStyle w:val="ListParagraph"/>
        <w:rPr>
          <w:bCs/>
          <w:sz w:val="22"/>
          <w:szCs w:val="22"/>
          <w:lang w:val="sl-SI"/>
        </w:rPr>
      </w:pPr>
    </w:p>
    <w:p w:rsidR="00E3466A" w:rsidRPr="00611B5B" w:rsidRDefault="00E3466A" w:rsidP="00E3466A">
      <w:pPr>
        <w:pStyle w:val="ListParagraph"/>
        <w:numPr>
          <w:ilvl w:val="0"/>
          <w:numId w:val="8"/>
        </w:numPr>
        <w:rPr>
          <w:bCs/>
          <w:sz w:val="22"/>
          <w:szCs w:val="22"/>
          <w:lang w:val="sl-SI"/>
        </w:rPr>
      </w:pPr>
      <w:r w:rsidRPr="00611B5B">
        <w:rPr>
          <w:bCs/>
          <w:sz w:val="22"/>
          <w:szCs w:val="22"/>
          <w:lang w:val="bs-Latn-BA"/>
        </w:rPr>
        <w:t>Nepovoljan položaj ranjivih grupa na tržištu rada</w:t>
      </w:r>
      <w:r w:rsidR="005C5AB0">
        <w:rPr>
          <w:bCs/>
          <w:sz w:val="22"/>
          <w:szCs w:val="22"/>
          <w:lang w:val="bs-Latn-BA"/>
        </w:rPr>
        <w:t>.</w:t>
      </w:r>
    </w:p>
    <w:p w:rsidR="00E3466A" w:rsidRPr="00611B5B" w:rsidRDefault="00E3466A" w:rsidP="00E3466A">
      <w:pPr>
        <w:rPr>
          <w:b/>
          <w:sz w:val="22"/>
          <w:szCs w:val="22"/>
          <w:highlight w:val="yellow"/>
        </w:rPr>
      </w:pPr>
    </w:p>
    <w:p w:rsidR="00E3466A" w:rsidRDefault="00E3466A" w:rsidP="00E3466A">
      <w:pPr>
        <w:rPr>
          <w:b/>
          <w:highlight w:val="yellow"/>
        </w:rPr>
      </w:pPr>
    </w:p>
    <w:p w:rsidR="00E3466A" w:rsidRPr="002C4CEB" w:rsidRDefault="00196A72" w:rsidP="00767812">
      <w:pPr>
        <w:pStyle w:val="Heading1"/>
        <w:numPr>
          <w:ilvl w:val="0"/>
          <w:numId w:val="0"/>
        </w:numPr>
        <w:spacing w:before="0"/>
        <w:rPr>
          <w:highlight w:val="yellow"/>
          <w:lang w:val="sl-SI"/>
        </w:rPr>
      </w:pPr>
      <w:bookmarkStart w:id="104" w:name="_Toc60052384"/>
      <w:bookmarkStart w:id="105" w:name="_Toc60565217"/>
      <w:bookmarkStart w:id="106" w:name="_Toc61289794"/>
      <w:bookmarkStart w:id="107" w:name="_Toc63099509"/>
      <w:r>
        <w:t xml:space="preserve">5. </w:t>
      </w:r>
      <w:r w:rsidR="00E3466A" w:rsidRPr="002C4CEB">
        <w:t>VIZIJA, CILJEVI, PRIORITETI I MJERE STRATEGIJE ZAPOŠLJAVANJA</w:t>
      </w:r>
      <w:bookmarkEnd w:id="104"/>
      <w:bookmarkEnd w:id="105"/>
      <w:bookmarkEnd w:id="106"/>
      <w:bookmarkEnd w:id="107"/>
    </w:p>
    <w:p w:rsidR="00E3466A" w:rsidRDefault="00E3466A" w:rsidP="00FC2D96">
      <w:pPr>
        <w:rPr>
          <w:lang w:val="sl-SI"/>
        </w:rPr>
      </w:pPr>
    </w:p>
    <w:p w:rsidR="00E3466A" w:rsidRPr="0037465D" w:rsidRDefault="00E3466A" w:rsidP="00E3466A">
      <w:pPr>
        <w:pStyle w:val="Heading2"/>
        <w:spacing w:before="0"/>
        <w:rPr>
          <w:lang w:val="sl-SI"/>
        </w:rPr>
      </w:pPr>
      <w:bookmarkStart w:id="108" w:name="_Toc60052385"/>
      <w:bookmarkStart w:id="109" w:name="_Toc60565218"/>
      <w:bookmarkStart w:id="110" w:name="_Toc61289795"/>
      <w:bookmarkStart w:id="111" w:name="_Toc63099510"/>
      <w:r>
        <w:rPr>
          <w:lang w:val="sl-SI"/>
        </w:rPr>
        <w:t>5</w:t>
      </w:r>
      <w:r w:rsidRPr="0037465D">
        <w:rPr>
          <w:lang w:val="sl-SI"/>
        </w:rPr>
        <w:t>.1 VIZIJA OPŠTINE U POGLEDU ZAPOŠLJAVANJA I RAZVOJA RADNE SNAGE</w:t>
      </w:r>
      <w:bookmarkEnd w:id="108"/>
      <w:bookmarkEnd w:id="109"/>
      <w:bookmarkEnd w:id="110"/>
      <w:bookmarkEnd w:id="111"/>
    </w:p>
    <w:p w:rsidR="00E3466A" w:rsidRPr="001E0C53" w:rsidRDefault="00E3466A" w:rsidP="00E3466A">
      <w:pPr>
        <w:rPr>
          <w:b/>
          <w:highlight w:val="yellow"/>
          <w:lang w:val="sl-SI"/>
        </w:rPr>
      </w:pPr>
    </w:p>
    <w:p w:rsidR="00C60E4D" w:rsidRPr="00385224" w:rsidRDefault="00E3466A" w:rsidP="00C60E4D">
      <w:pPr>
        <w:shd w:val="clear" w:color="auto" w:fill="FFFFFF" w:themeFill="background1"/>
        <w:jc w:val="center"/>
        <w:rPr>
          <w:b/>
          <w:bCs/>
          <w:i/>
          <w:sz w:val="22"/>
          <w:szCs w:val="22"/>
          <w:shd w:val="clear" w:color="auto" w:fill="FFFFFF" w:themeFill="background1"/>
          <w:lang w:val="sl-SI"/>
        </w:rPr>
      </w:pPr>
      <w:r w:rsidRPr="00FC2D96">
        <w:rPr>
          <w:i/>
          <w:sz w:val="22"/>
          <w:szCs w:val="22"/>
          <w:shd w:val="clear" w:color="auto" w:fill="FFFFFF" w:themeFill="background1"/>
          <w:lang w:val="sl-SI"/>
        </w:rPr>
        <w:t>»</w:t>
      </w:r>
      <w:r w:rsidRPr="00385224">
        <w:rPr>
          <w:b/>
          <w:bCs/>
          <w:i/>
          <w:sz w:val="22"/>
          <w:szCs w:val="22"/>
          <w:shd w:val="clear" w:color="auto" w:fill="FFFFFF" w:themeFill="background1"/>
          <w:lang w:val="sl-SI"/>
        </w:rPr>
        <w:t xml:space="preserve">Inkluzivno tržište rada sa visoko obrazovanim kadrovima, </w:t>
      </w:r>
    </w:p>
    <w:p w:rsidR="00C60E4D" w:rsidRPr="00385224" w:rsidRDefault="00E3466A" w:rsidP="00C60E4D">
      <w:pPr>
        <w:shd w:val="clear" w:color="auto" w:fill="FFFFFF" w:themeFill="background1"/>
        <w:jc w:val="center"/>
        <w:rPr>
          <w:b/>
          <w:bCs/>
          <w:i/>
          <w:sz w:val="22"/>
          <w:szCs w:val="22"/>
          <w:shd w:val="clear" w:color="auto" w:fill="FFFFFF" w:themeFill="background1"/>
          <w:lang w:val="sl-SI"/>
        </w:rPr>
      </w:pPr>
      <w:r w:rsidRPr="00385224">
        <w:rPr>
          <w:b/>
          <w:bCs/>
          <w:i/>
          <w:sz w:val="22"/>
          <w:szCs w:val="22"/>
          <w:shd w:val="clear" w:color="auto" w:fill="FFFFFF" w:themeFill="background1"/>
          <w:lang w:val="sl-SI"/>
        </w:rPr>
        <w:t>kreativnim potencijalom, razvijenom preduzetničkom sviješću i</w:t>
      </w:r>
    </w:p>
    <w:p w:rsidR="00E3466A" w:rsidRPr="00FC2D96" w:rsidRDefault="00E3466A" w:rsidP="00C60E4D">
      <w:pPr>
        <w:shd w:val="clear" w:color="auto" w:fill="FFFFFF" w:themeFill="background1"/>
        <w:jc w:val="center"/>
        <w:rPr>
          <w:i/>
          <w:sz w:val="22"/>
          <w:szCs w:val="22"/>
          <w:lang w:val="sl-SI"/>
        </w:rPr>
      </w:pPr>
      <w:r w:rsidRPr="00385224">
        <w:rPr>
          <w:b/>
          <w:bCs/>
          <w:i/>
          <w:sz w:val="22"/>
          <w:szCs w:val="22"/>
          <w:shd w:val="clear" w:color="auto" w:fill="FFFFFF" w:themeFill="background1"/>
          <w:lang w:val="sl-SI"/>
        </w:rPr>
        <w:t xml:space="preserve"> povećanom zapošljenošću kroz nove sektore privrede</w:t>
      </w:r>
      <w:r w:rsidR="0074238C">
        <w:rPr>
          <w:b/>
          <w:bCs/>
          <w:i/>
          <w:sz w:val="22"/>
          <w:szCs w:val="22"/>
          <w:shd w:val="clear" w:color="auto" w:fill="FFFFFF" w:themeFill="background1"/>
          <w:lang w:val="sl-SI"/>
        </w:rPr>
        <w:t>.</w:t>
      </w:r>
      <w:r w:rsidRPr="00385224">
        <w:rPr>
          <w:b/>
          <w:bCs/>
          <w:i/>
          <w:sz w:val="22"/>
          <w:szCs w:val="22"/>
          <w:lang w:val="sl-SI"/>
        </w:rPr>
        <w:t>«</w:t>
      </w:r>
    </w:p>
    <w:p w:rsidR="00E3466A" w:rsidRPr="005B3176" w:rsidRDefault="00E3466A" w:rsidP="00E3466A">
      <w:pPr>
        <w:rPr>
          <w:rFonts w:cs="Arial"/>
          <w:highlight w:val="yellow"/>
          <w:lang w:val="hr-HR"/>
        </w:rPr>
      </w:pPr>
    </w:p>
    <w:p w:rsidR="00E3466A" w:rsidRPr="0004779E" w:rsidRDefault="00E3466A" w:rsidP="00E3466A">
      <w:pPr>
        <w:pStyle w:val="Heading2"/>
        <w:spacing w:before="0"/>
        <w:rPr>
          <w:lang w:val="hr-HR"/>
        </w:rPr>
      </w:pPr>
      <w:bookmarkStart w:id="112" w:name="_Toc60052386"/>
      <w:bookmarkStart w:id="113" w:name="_Toc60565219"/>
      <w:bookmarkStart w:id="114" w:name="_Toc61289796"/>
      <w:bookmarkStart w:id="115" w:name="_Toc63099511"/>
      <w:r>
        <w:rPr>
          <w:lang w:val="hr-HR"/>
        </w:rPr>
        <w:t>5</w:t>
      </w:r>
      <w:r w:rsidRPr="0037465D">
        <w:rPr>
          <w:lang w:val="hr-HR"/>
        </w:rPr>
        <w:t>.2 CILJEVI</w:t>
      </w:r>
      <w:bookmarkEnd w:id="112"/>
      <w:bookmarkEnd w:id="113"/>
      <w:bookmarkEnd w:id="114"/>
      <w:bookmarkEnd w:id="115"/>
      <w:r w:rsidRPr="0037465D">
        <w:rPr>
          <w:lang w:val="hr-HR"/>
        </w:rPr>
        <w:t xml:space="preserve"> </w:t>
      </w:r>
    </w:p>
    <w:bookmarkEnd w:id="87"/>
    <w:p w:rsidR="00030FD3" w:rsidRDefault="00030FD3" w:rsidP="00DE28B8">
      <w:pPr>
        <w:rPr>
          <w:szCs w:val="20"/>
        </w:rPr>
      </w:pPr>
    </w:p>
    <w:tbl>
      <w:tblPr>
        <w:tblStyle w:val="TableGrid"/>
        <w:tblpPr w:leftFromText="141" w:rightFromText="141" w:vertAnchor="text" w:horzAnchor="margin" w:tblpY="7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405"/>
        <w:gridCol w:w="6826"/>
      </w:tblGrid>
      <w:tr w:rsidR="00030FD3" w:rsidRPr="00EC6130" w:rsidTr="00BB3622">
        <w:tc>
          <w:tcPr>
            <w:tcW w:w="2405" w:type="dxa"/>
            <w:shd w:val="clear" w:color="auto" w:fill="2F5496" w:themeFill="accent1" w:themeFillShade="BF"/>
            <w:hideMark/>
          </w:tcPr>
          <w:p w:rsidR="00030FD3" w:rsidRDefault="00030FD3" w:rsidP="00BB3622">
            <w:pPr>
              <w:rPr>
                <w:b/>
                <w:bCs/>
                <w:color w:val="FFFFFF" w:themeColor="background1"/>
                <w:szCs w:val="20"/>
              </w:rPr>
            </w:pPr>
            <w:r w:rsidRPr="00EC6130">
              <w:rPr>
                <w:b/>
                <w:bCs/>
                <w:color w:val="FFFFFF" w:themeColor="background1"/>
                <w:szCs w:val="20"/>
              </w:rPr>
              <w:t>Strateški</w:t>
            </w:r>
            <w:r w:rsidRPr="00EC6130">
              <w:rPr>
                <w:b/>
                <w:bCs/>
                <w:szCs w:val="20"/>
              </w:rPr>
              <w:t xml:space="preserve"> </w:t>
            </w:r>
            <w:r w:rsidRPr="00EC6130">
              <w:rPr>
                <w:b/>
                <w:bCs/>
                <w:color w:val="FFFFFF" w:themeColor="background1"/>
                <w:szCs w:val="20"/>
              </w:rPr>
              <w:t>cilj</w:t>
            </w:r>
          </w:p>
          <w:p w:rsidR="007124B0" w:rsidRDefault="007124B0" w:rsidP="00BB3622">
            <w:pPr>
              <w:rPr>
                <w:b/>
                <w:bCs/>
                <w:color w:val="FFFFFF" w:themeColor="background1"/>
                <w:szCs w:val="20"/>
              </w:rPr>
            </w:pPr>
          </w:p>
          <w:p w:rsidR="007124B0" w:rsidRPr="00EC6130" w:rsidRDefault="007124B0" w:rsidP="00BB3622">
            <w:pPr>
              <w:rPr>
                <w:b/>
                <w:bCs/>
                <w:szCs w:val="20"/>
              </w:rPr>
            </w:pPr>
          </w:p>
        </w:tc>
        <w:tc>
          <w:tcPr>
            <w:tcW w:w="6826" w:type="dxa"/>
            <w:hideMark/>
          </w:tcPr>
          <w:p w:rsidR="00030FD3" w:rsidRDefault="00030FD3" w:rsidP="00BB3622">
            <w:pPr>
              <w:rPr>
                <w:b/>
                <w:bCs/>
                <w:szCs w:val="20"/>
              </w:rPr>
            </w:pPr>
            <w:r>
              <w:rPr>
                <w:b/>
                <w:bCs/>
                <w:szCs w:val="20"/>
              </w:rPr>
              <w:t>POVEĆANJE ZAPOSLENOSTI</w:t>
            </w:r>
          </w:p>
          <w:p w:rsidR="00030FD3" w:rsidRPr="00EC6130" w:rsidRDefault="00030FD3" w:rsidP="00BB3622">
            <w:pPr>
              <w:rPr>
                <w:b/>
                <w:bCs/>
                <w:szCs w:val="20"/>
              </w:rPr>
            </w:pPr>
          </w:p>
        </w:tc>
      </w:tr>
    </w:tbl>
    <w:p w:rsidR="00030FD3" w:rsidRDefault="00030FD3" w:rsidP="00DE28B8">
      <w:pPr>
        <w:rPr>
          <w:szCs w:val="20"/>
        </w:rPr>
      </w:pPr>
    </w:p>
    <w:tbl>
      <w:tblPr>
        <w:tblStyle w:val="TableGrid"/>
        <w:tblW w:w="0" w:type="auto"/>
        <w:tblLook w:val="04A0"/>
      </w:tblPr>
      <w:tblGrid>
        <w:gridCol w:w="2405"/>
        <w:gridCol w:w="6826"/>
      </w:tblGrid>
      <w:tr w:rsidR="00587278" w:rsidRPr="00EC6130" w:rsidTr="00AA426D">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C66"/>
            <w:hideMark/>
          </w:tcPr>
          <w:p w:rsidR="00587278" w:rsidRPr="00EC6130" w:rsidRDefault="00587278" w:rsidP="00DE28B8">
            <w:pPr>
              <w:rPr>
                <w:b/>
                <w:bCs/>
                <w:szCs w:val="20"/>
              </w:rPr>
            </w:pPr>
            <w:r w:rsidRPr="00EC6130">
              <w:rPr>
                <w:b/>
                <w:bCs/>
                <w:szCs w:val="20"/>
              </w:rPr>
              <w:t>Cilj 1</w:t>
            </w:r>
          </w:p>
        </w:tc>
        <w:tc>
          <w:tcPr>
            <w:tcW w:w="6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12C7" w:rsidRDefault="00A412C7" w:rsidP="00A412C7">
            <w:pPr>
              <w:rPr>
                <w:lang w:val="sl-SI"/>
              </w:rPr>
            </w:pPr>
            <w:r>
              <w:rPr>
                <w:lang w:val="sl-SI"/>
              </w:rPr>
              <w:t>Povećanje nivoa znanja i vještina radne snage</w:t>
            </w:r>
          </w:p>
          <w:p w:rsidR="00587278" w:rsidRPr="00EC6130" w:rsidRDefault="00587278" w:rsidP="00DE28B8">
            <w:pPr>
              <w:rPr>
                <w:b/>
                <w:bCs/>
                <w:szCs w:val="20"/>
              </w:rPr>
            </w:pPr>
          </w:p>
        </w:tc>
      </w:tr>
    </w:tbl>
    <w:p w:rsidR="00587278" w:rsidRDefault="00587278" w:rsidP="00DE28B8">
      <w:pPr>
        <w:rPr>
          <w:szCs w:val="20"/>
        </w:rPr>
      </w:pPr>
    </w:p>
    <w:tbl>
      <w:tblPr>
        <w:tblStyle w:val="TableGrid"/>
        <w:tblpPr w:leftFromText="141" w:rightFromText="141" w:vertAnchor="text" w:horzAnchor="margin" w:tblpY="7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405"/>
        <w:gridCol w:w="6826"/>
      </w:tblGrid>
      <w:tr w:rsidR="00587278" w:rsidTr="00AA426D">
        <w:tc>
          <w:tcPr>
            <w:tcW w:w="2405" w:type="dxa"/>
            <w:shd w:val="clear" w:color="auto" w:fill="FFCC66"/>
            <w:hideMark/>
          </w:tcPr>
          <w:p w:rsidR="00587278" w:rsidRPr="00EC6130" w:rsidRDefault="00587278" w:rsidP="00DE28B8">
            <w:pPr>
              <w:rPr>
                <w:b/>
                <w:bCs/>
                <w:szCs w:val="20"/>
              </w:rPr>
            </w:pPr>
            <w:r w:rsidRPr="00EC6130">
              <w:rPr>
                <w:b/>
                <w:bCs/>
                <w:szCs w:val="20"/>
              </w:rPr>
              <w:t>Cilj 2</w:t>
            </w:r>
          </w:p>
        </w:tc>
        <w:tc>
          <w:tcPr>
            <w:tcW w:w="6826" w:type="dxa"/>
          </w:tcPr>
          <w:p w:rsidR="00A412C7" w:rsidRDefault="00A412C7" w:rsidP="00A412C7">
            <w:pPr>
              <w:rPr>
                <w:lang w:val="sl-SI"/>
              </w:rPr>
            </w:pPr>
            <w:r>
              <w:rPr>
                <w:lang w:val="sl-SI"/>
              </w:rPr>
              <w:t>Unapređenje razvoja preduzetništva</w:t>
            </w:r>
          </w:p>
          <w:p w:rsidR="00587278" w:rsidRPr="00EC6130" w:rsidRDefault="00587278" w:rsidP="00DE28B8">
            <w:pPr>
              <w:rPr>
                <w:b/>
                <w:bCs/>
                <w:szCs w:val="20"/>
              </w:rPr>
            </w:pPr>
          </w:p>
        </w:tc>
      </w:tr>
    </w:tbl>
    <w:p w:rsidR="00A75196" w:rsidRDefault="00A75196" w:rsidP="00DE28B8">
      <w:pPr>
        <w:rPr>
          <w:b/>
          <w:bCs/>
          <w:color w:val="2F5496" w:themeColor="accent1" w:themeShade="BF"/>
          <w:szCs w:val="20"/>
        </w:rPr>
      </w:pPr>
    </w:p>
    <w:tbl>
      <w:tblPr>
        <w:tblStyle w:val="TableGrid"/>
        <w:tblpPr w:leftFromText="141" w:rightFromText="141" w:vertAnchor="text" w:horzAnchor="margin" w:tblpY="7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405"/>
        <w:gridCol w:w="6826"/>
      </w:tblGrid>
      <w:tr w:rsidR="00A75196" w:rsidRPr="00EC6130" w:rsidTr="00AA426D">
        <w:tc>
          <w:tcPr>
            <w:tcW w:w="2405" w:type="dxa"/>
            <w:shd w:val="clear" w:color="auto" w:fill="FFCC66"/>
            <w:hideMark/>
          </w:tcPr>
          <w:p w:rsidR="00A75196" w:rsidRPr="00EC6130" w:rsidRDefault="00A75196" w:rsidP="00DE28B8">
            <w:pPr>
              <w:rPr>
                <w:b/>
                <w:bCs/>
                <w:szCs w:val="20"/>
              </w:rPr>
            </w:pPr>
            <w:r w:rsidRPr="00EC6130">
              <w:rPr>
                <w:b/>
                <w:bCs/>
                <w:szCs w:val="20"/>
              </w:rPr>
              <w:t>Cilj</w:t>
            </w:r>
            <w:r w:rsidR="0009221E">
              <w:rPr>
                <w:b/>
                <w:bCs/>
                <w:szCs w:val="20"/>
              </w:rPr>
              <w:t xml:space="preserve"> </w:t>
            </w:r>
            <w:r>
              <w:rPr>
                <w:b/>
                <w:bCs/>
                <w:szCs w:val="20"/>
              </w:rPr>
              <w:t>3</w:t>
            </w:r>
          </w:p>
        </w:tc>
        <w:tc>
          <w:tcPr>
            <w:tcW w:w="6826" w:type="dxa"/>
          </w:tcPr>
          <w:p w:rsidR="00A75196" w:rsidRDefault="00A412C7" w:rsidP="00DE28B8">
            <w:pPr>
              <w:rPr>
                <w:lang w:val="sl-SI"/>
              </w:rPr>
            </w:pPr>
            <w:r>
              <w:rPr>
                <w:lang w:val="sl-SI"/>
              </w:rPr>
              <w:t>Povećanje uključenosti ranjivih grupa na tržište rada</w:t>
            </w:r>
          </w:p>
          <w:p w:rsidR="007124B0" w:rsidRPr="00EC6130" w:rsidRDefault="007124B0" w:rsidP="00DE28B8">
            <w:pPr>
              <w:rPr>
                <w:b/>
                <w:bCs/>
                <w:szCs w:val="20"/>
              </w:rPr>
            </w:pPr>
          </w:p>
        </w:tc>
      </w:tr>
    </w:tbl>
    <w:p w:rsidR="00A75196" w:rsidRDefault="00A75196" w:rsidP="00DE28B8">
      <w:pPr>
        <w:rPr>
          <w:b/>
          <w:bCs/>
          <w:color w:val="2F5496" w:themeColor="accent1" w:themeShade="BF"/>
          <w:szCs w:val="20"/>
        </w:rPr>
      </w:pPr>
    </w:p>
    <w:p w:rsidR="00C7285E" w:rsidRDefault="00C7285E" w:rsidP="00DE28B8">
      <w:pPr>
        <w:rPr>
          <w:b/>
          <w:bCs/>
          <w:color w:val="2F5496" w:themeColor="accent1" w:themeShade="BF"/>
          <w:szCs w:val="20"/>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111"/>
        <w:gridCol w:w="1843"/>
        <w:gridCol w:w="1843"/>
        <w:gridCol w:w="1439"/>
      </w:tblGrid>
      <w:tr w:rsidR="00030FD3" w:rsidRPr="00EC6130" w:rsidTr="00030FD3">
        <w:tc>
          <w:tcPr>
            <w:tcW w:w="4111" w:type="dxa"/>
            <w:shd w:val="clear" w:color="auto" w:fill="DBDBDB" w:themeFill="accent3" w:themeFillTint="66"/>
            <w:hideMark/>
          </w:tcPr>
          <w:p w:rsidR="00030FD3" w:rsidRPr="00EC6130" w:rsidRDefault="00030FD3" w:rsidP="00DE28B8">
            <w:pPr>
              <w:rPr>
                <w:b/>
                <w:bCs/>
                <w:szCs w:val="20"/>
                <w:lang w:val="sl-SI"/>
              </w:rPr>
            </w:pPr>
            <w:bookmarkStart w:id="116" w:name="_Hlk60152841"/>
            <w:r w:rsidRPr="00EC6130">
              <w:rPr>
                <w:b/>
                <w:bCs/>
                <w:szCs w:val="20"/>
                <w:lang w:val="sl-SI"/>
              </w:rPr>
              <w:t>Pokazatelj uspjeha</w:t>
            </w:r>
          </w:p>
        </w:tc>
        <w:tc>
          <w:tcPr>
            <w:tcW w:w="1843" w:type="dxa"/>
            <w:shd w:val="clear" w:color="auto" w:fill="DBDBDB" w:themeFill="accent3" w:themeFillTint="66"/>
          </w:tcPr>
          <w:p w:rsidR="00030FD3" w:rsidRPr="00EC6130" w:rsidRDefault="00030FD3" w:rsidP="00DE28B8">
            <w:pPr>
              <w:rPr>
                <w:b/>
                <w:bCs/>
                <w:szCs w:val="20"/>
                <w:lang w:val="sl-SI"/>
              </w:rPr>
            </w:pPr>
            <w:r>
              <w:rPr>
                <w:b/>
                <w:bCs/>
                <w:szCs w:val="20"/>
                <w:lang w:val="sl-SI"/>
              </w:rPr>
              <w:t>Izvor informacija</w:t>
            </w:r>
          </w:p>
        </w:tc>
        <w:tc>
          <w:tcPr>
            <w:tcW w:w="1843" w:type="dxa"/>
            <w:shd w:val="clear" w:color="auto" w:fill="DBDBDB" w:themeFill="accent3" w:themeFillTint="66"/>
            <w:hideMark/>
          </w:tcPr>
          <w:p w:rsidR="00030FD3" w:rsidRPr="00EC6130" w:rsidRDefault="00030FD3" w:rsidP="00DE28B8">
            <w:pPr>
              <w:rPr>
                <w:b/>
                <w:bCs/>
                <w:szCs w:val="20"/>
                <w:lang w:val="sl-SI"/>
              </w:rPr>
            </w:pPr>
            <w:r w:rsidRPr="00EC6130">
              <w:rPr>
                <w:b/>
                <w:bCs/>
                <w:szCs w:val="20"/>
                <w:lang w:val="sl-SI"/>
              </w:rPr>
              <w:t>Polazna vrijednost 2019.</w:t>
            </w:r>
          </w:p>
        </w:tc>
        <w:tc>
          <w:tcPr>
            <w:tcW w:w="1439" w:type="dxa"/>
            <w:shd w:val="clear" w:color="auto" w:fill="DBDBDB" w:themeFill="accent3" w:themeFillTint="66"/>
            <w:hideMark/>
          </w:tcPr>
          <w:p w:rsidR="00030FD3" w:rsidRPr="00EC6130" w:rsidRDefault="00030FD3" w:rsidP="00DE28B8">
            <w:pPr>
              <w:rPr>
                <w:b/>
                <w:bCs/>
                <w:szCs w:val="20"/>
                <w:lang w:val="sl-SI"/>
              </w:rPr>
            </w:pPr>
            <w:r w:rsidRPr="00EC6130">
              <w:rPr>
                <w:b/>
                <w:bCs/>
                <w:szCs w:val="20"/>
                <w:lang w:val="sl-SI"/>
              </w:rPr>
              <w:t xml:space="preserve">Ciljna vrijednost </w:t>
            </w:r>
            <w:r>
              <w:rPr>
                <w:b/>
                <w:bCs/>
                <w:szCs w:val="20"/>
                <w:lang w:val="sl-SI"/>
              </w:rPr>
              <w:t>2025.</w:t>
            </w:r>
          </w:p>
        </w:tc>
      </w:tr>
      <w:tr w:rsidR="00030FD3" w:rsidRPr="00EC6130" w:rsidTr="00030FD3">
        <w:trPr>
          <w:trHeight w:val="454"/>
        </w:trPr>
        <w:tc>
          <w:tcPr>
            <w:tcW w:w="4111" w:type="dxa"/>
          </w:tcPr>
          <w:p w:rsidR="00030FD3" w:rsidRPr="00EC6130" w:rsidRDefault="00030FD3" w:rsidP="00DE28B8">
            <w:pPr>
              <w:rPr>
                <w:szCs w:val="20"/>
                <w:lang w:val="sl-SI"/>
              </w:rPr>
            </w:pPr>
            <w:r>
              <w:rPr>
                <w:szCs w:val="20"/>
                <w:lang w:val="sl-SI"/>
              </w:rPr>
              <w:t xml:space="preserve">Broj zaposlenih </w:t>
            </w:r>
          </w:p>
        </w:tc>
        <w:tc>
          <w:tcPr>
            <w:tcW w:w="1843" w:type="dxa"/>
          </w:tcPr>
          <w:p w:rsidR="00030FD3" w:rsidRPr="00EC6130" w:rsidRDefault="00030FD3" w:rsidP="00DE28B8">
            <w:pPr>
              <w:jc w:val="center"/>
              <w:rPr>
                <w:szCs w:val="20"/>
                <w:lang w:val="sl-SI"/>
              </w:rPr>
            </w:pPr>
            <w:r>
              <w:rPr>
                <w:szCs w:val="20"/>
                <w:lang w:val="sl-SI"/>
              </w:rPr>
              <w:t>MONSTAT</w:t>
            </w:r>
          </w:p>
        </w:tc>
        <w:tc>
          <w:tcPr>
            <w:tcW w:w="1843" w:type="dxa"/>
          </w:tcPr>
          <w:p w:rsidR="00030FD3" w:rsidRPr="00EC6130" w:rsidRDefault="00030FD3" w:rsidP="00DE28B8">
            <w:pPr>
              <w:jc w:val="center"/>
              <w:rPr>
                <w:szCs w:val="20"/>
                <w:lang w:val="sl-SI"/>
              </w:rPr>
            </w:pPr>
            <w:r>
              <w:rPr>
                <w:szCs w:val="20"/>
                <w:lang w:val="sl-SI"/>
              </w:rPr>
              <w:t>93.762</w:t>
            </w:r>
          </w:p>
        </w:tc>
        <w:tc>
          <w:tcPr>
            <w:tcW w:w="1439" w:type="dxa"/>
          </w:tcPr>
          <w:p w:rsidR="00030FD3" w:rsidRPr="00EC6130" w:rsidRDefault="002D4E67" w:rsidP="00DE28B8">
            <w:pPr>
              <w:jc w:val="center"/>
              <w:rPr>
                <w:szCs w:val="20"/>
                <w:lang w:val="sl-SI"/>
              </w:rPr>
            </w:pPr>
            <w:r w:rsidRPr="00CC5C6D">
              <w:rPr>
                <w:szCs w:val="20"/>
                <w:lang w:val="sl-SI"/>
              </w:rPr>
              <w:t>100.000</w:t>
            </w:r>
          </w:p>
        </w:tc>
      </w:tr>
      <w:tr w:rsidR="00BB3622" w:rsidRPr="00EC6130" w:rsidTr="00030FD3">
        <w:trPr>
          <w:trHeight w:val="547"/>
        </w:trPr>
        <w:tc>
          <w:tcPr>
            <w:tcW w:w="4111" w:type="dxa"/>
          </w:tcPr>
          <w:p w:rsidR="00BB3622" w:rsidRPr="00584785" w:rsidRDefault="00BB3622" w:rsidP="00BB3622">
            <w:pPr>
              <w:rPr>
                <w:szCs w:val="20"/>
                <w:lang w:val="sl-SI"/>
              </w:rPr>
            </w:pPr>
            <w:r>
              <w:rPr>
                <w:szCs w:val="20"/>
                <w:lang w:val="sl-SI"/>
              </w:rPr>
              <w:t>Broj nezaposlenih lica uključenih u obrazovanje i osposobljavanje odraslih</w:t>
            </w:r>
          </w:p>
        </w:tc>
        <w:tc>
          <w:tcPr>
            <w:tcW w:w="1843" w:type="dxa"/>
          </w:tcPr>
          <w:p w:rsidR="00BB3622" w:rsidRPr="00EC44C7" w:rsidRDefault="00BB3622" w:rsidP="00BB3622">
            <w:pPr>
              <w:jc w:val="center"/>
              <w:rPr>
                <w:szCs w:val="20"/>
                <w:lang w:val="sl-SI"/>
              </w:rPr>
            </w:pPr>
            <w:r w:rsidRPr="00EC44C7">
              <w:rPr>
                <w:szCs w:val="20"/>
                <w:lang w:val="sl-SI"/>
              </w:rPr>
              <w:t>Godišnji izvještaj ZZZCG</w:t>
            </w:r>
          </w:p>
        </w:tc>
        <w:tc>
          <w:tcPr>
            <w:tcW w:w="1843" w:type="dxa"/>
          </w:tcPr>
          <w:p w:rsidR="00BB3622" w:rsidRPr="00EC44C7" w:rsidRDefault="002D4E67" w:rsidP="00BB3622">
            <w:pPr>
              <w:jc w:val="center"/>
              <w:rPr>
                <w:szCs w:val="20"/>
                <w:lang w:val="sl-SI"/>
              </w:rPr>
            </w:pPr>
            <w:r w:rsidRPr="00EC44C7">
              <w:rPr>
                <w:szCs w:val="20"/>
                <w:lang w:val="sl-SI"/>
              </w:rPr>
              <w:t>309</w:t>
            </w:r>
          </w:p>
          <w:p w:rsidR="002D4E67" w:rsidRPr="00EC44C7" w:rsidRDefault="002D4E67" w:rsidP="00BB3622">
            <w:pPr>
              <w:jc w:val="center"/>
              <w:rPr>
                <w:szCs w:val="20"/>
                <w:lang w:val="sl-SI"/>
              </w:rPr>
            </w:pPr>
            <w:r w:rsidRPr="00EC44C7">
              <w:rPr>
                <w:szCs w:val="20"/>
                <w:lang w:val="sl-SI"/>
              </w:rPr>
              <w:t>(4,9% prosječnog broja nezaposlenih)</w:t>
            </w:r>
          </w:p>
        </w:tc>
        <w:tc>
          <w:tcPr>
            <w:tcW w:w="1439" w:type="dxa"/>
          </w:tcPr>
          <w:p w:rsidR="00BB3622" w:rsidRPr="00EC44C7" w:rsidRDefault="002D4E67" w:rsidP="00BB3622">
            <w:pPr>
              <w:jc w:val="center"/>
              <w:rPr>
                <w:szCs w:val="20"/>
                <w:lang w:val="sl-SI"/>
              </w:rPr>
            </w:pPr>
            <w:r w:rsidRPr="00EC44C7">
              <w:rPr>
                <w:szCs w:val="20"/>
                <w:lang w:val="sl-SI"/>
              </w:rPr>
              <w:t>10% nezaposlenih uključenih</w:t>
            </w:r>
          </w:p>
        </w:tc>
      </w:tr>
      <w:tr w:rsidR="00BB3622" w:rsidRPr="00EC6130" w:rsidTr="00030FD3">
        <w:trPr>
          <w:trHeight w:val="547"/>
        </w:trPr>
        <w:tc>
          <w:tcPr>
            <w:tcW w:w="4111" w:type="dxa"/>
          </w:tcPr>
          <w:p w:rsidR="00BB3622" w:rsidRDefault="00BB3622" w:rsidP="00BB3622">
            <w:pPr>
              <w:rPr>
                <w:color w:val="FF0000"/>
                <w:szCs w:val="20"/>
                <w:lang w:val="sl-SI"/>
              </w:rPr>
            </w:pPr>
            <w:r w:rsidRPr="00584785">
              <w:rPr>
                <w:szCs w:val="20"/>
                <w:lang w:val="sl-SI"/>
              </w:rPr>
              <w:t xml:space="preserve">Broj </w:t>
            </w:r>
            <w:r w:rsidRPr="00EC44C7">
              <w:rPr>
                <w:szCs w:val="20"/>
                <w:lang w:val="sl-SI"/>
              </w:rPr>
              <w:t>novoosnovanih</w:t>
            </w:r>
            <w:r w:rsidRPr="00584785">
              <w:rPr>
                <w:szCs w:val="20"/>
                <w:lang w:val="sl-SI"/>
              </w:rPr>
              <w:t xml:space="preserve"> privrednih subjekata</w:t>
            </w:r>
            <w:r>
              <w:rPr>
                <w:szCs w:val="20"/>
                <w:lang w:val="sl-SI"/>
              </w:rPr>
              <w:t xml:space="preserve"> i preduzetnika</w:t>
            </w:r>
          </w:p>
        </w:tc>
        <w:tc>
          <w:tcPr>
            <w:tcW w:w="1843" w:type="dxa"/>
          </w:tcPr>
          <w:p w:rsidR="00BB3622" w:rsidRPr="00EC44C7" w:rsidRDefault="00CC5C6D" w:rsidP="00BB3622">
            <w:pPr>
              <w:jc w:val="center"/>
              <w:rPr>
                <w:szCs w:val="20"/>
                <w:lang w:val="sl-SI"/>
              </w:rPr>
            </w:pPr>
            <w:r w:rsidRPr="00EC44C7">
              <w:rPr>
                <w:szCs w:val="20"/>
                <w:lang w:val="sl-SI"/>
              </w:rPr>
              <w:t>CRPS</w:t>
            </w:r>
          </w:p>
        </w:tc>
        <w:tc>
          <w:tcPr>
            <w:tcW w:w="1843" w:type="dxa"/>
          </w:tcPr>
          <w:p w:rsidR="00BB3622" w:rsidRPr="00EC44C7" w:rsidRDefault="00EC44C7" w:rsidP="00BB3622">
            <w:pPr>
              <w:jc w:val="center"/>
              <w:rPr>
                <w:szCs w:val="20"/>
                <w:lang w:val="sl-SI"/>
              </w:rPr>
            </w:pPr>
            <w:r w:rsidRPr="00EC44C7">
              <w:rPr>
                <w:szCs w:val="20"/>
                <w:lang w:val="sl-SI"/>
              </w:rPr>
              <w:t>1601</w:t>
            </w:r>
          </w:p>
        </w:tc>
        <w:tc>
          <w:tcPr>
            <w:tcW w:w="1439" w:type="dxa"/>
          </w:tcPr>
          <w:p w:rsidR="00BB3622" w:rsidRPr="00EC44C7" w:rsidRDefault="00EC44C7" w:rsidP="00BB3622">
            <w:pPr>
              <w:jc w:val="center"/>
              <w:rPr>
                <w:szCs w:val="20"/>
                <w:lang w:val="sl-SI"/>
              </w:rPr>
            </w:pPr>
            <w:r w:rsidRPr="00EC44C7">
              <w:rPr>
                <w:szCs w:val="20"/>
                <w:lang w:val="sl-SI"/>
              </w:rPr>
              <w:t>1800</w:t>
            </w:r>
          </w:p>
        </w:tc>
      </w:tr>
      <w:tr w:rsidR="00BB3622" w:rsidRPr="00EC6130" w:rsidTr="00030FD3">
        <w:trPr>
          <w:trHeight w:val="547"/>
        </w:trPr>
        <w:tc>
          <w:tcPr>
            <w:tcW w:w="4111" w:type="dxa"/>
          </w:tcPr>
          <w:p w:rsidR="00BB3622" w:rsidRPr="00EC6130" w:rsidRDefault="00BB3622" w:rsidP="00BB3622">
            <w:pPr>
              <w:rPr>
                <w:color w:val="FF0000"/>
                <w:szCs w:val="20"/>
                <w:lang w:val="sl-SI"/>
              </w:rPr>
            </w:pPr>
            <w:r w:rsidRPr="00030FD3">
              <w:rPr>
                <w:szCs w:val="20"/>
                <w:lang w:val="sl-SI"/>
              </w:rPr>
              <w:t>Broj socijalnih preduzeća</w:t>
            </w:r>
          </w:p>
        </w:tc>
        <w:tc>
          <w:tcPr>
            <w:tcW w:w="1843" w:type="dxa"/>
          </w:tcPr>
          <w:p w:rsidR="00BB3622" w:rsidRPr="00EC44C7" w:rsidRDefault="00CC5C6D" w:rsidP="00BB3622">
            <w:pPr>
              <w:jc w:val="center"/>
              <w:rPr>
                <w:szCs w:val="20"/>
                <w:lang w:val="sl-SI"/>
              </w:rPr>
            </w:pPr>
            <w:r w:rsidRPr="00EC44C7">
              <w:rPr>
                <w:szCs w:val="20"/>
                <w:lang w:val="sl-SI"/>
              </w:rPr>
              <w:t>CEPS</w:t>
            </w:r>
          </w:p>
        </w:tc>
        <w:tc>
          <w:tcPr>
            <w:tcW w:w="1843" w:type="dxa"/>
          </w:tcPr>
          <w:p w:rsidR="00BB3622" w:rsidRPr="00EC44C7" w:rsidRDefault="00CC5C6D" w:rsidP="00BB3622">
            <w:pPr>
              <w:jc w:val="center"/>
              <w:rPr>
                <w:szCs w:val="20"/>
                <w:lang w:val="sl-SI"/>
              </w:rPr>
            </w:pPr>
            <w:r w:rsidRPr="00EC44C7">
              <w:rPr>
                <w:szCs w:val="20"/>
                <w:lang w:val="sl-SI"/>
              </w:rPr>
              <w:t>140</w:t>
            </w:r>
          </w:p>
        </w:tc>
        <w:tc>
          <w:tcPr>
            <w:tcW w:w="1439" w:type="dxa"/>
          </w:tcPr>
          <w:p w:rsidR="00BB3622" w:rsidRPr="00EC44C7" w:rsidRDefault="00005951" w:rsidP="00BB3622">
            <w:pPr>
              <w:jc w:val="center"/>
              <w:rPr>
                <w:szCs w:val="20"/>
                <w:lang w:val="sl-SI"/>
              </w:rPr>
            </w:pPr>
            <w:r w:rsidRPr="00EC44C7">
              <w:rPr>
                <w:szCs w:val="20"/>
                <w:lang w:val="sl-SI"/>
              </w:rPr>
              <w:t>160</w:t>
            </w:r>
          </w:p>
        </w:tc>
      </w:tr>
    </w:tbl>
    <w:p w:rsidR="00587278" w:rsidRPr="00EC6130" w:rsidRDefault="00587278" w:rsidP="00DE28B8">
      <w:pPr>
        <w:rPr>
          <w:szCs w:val="20"/>
        </w:rPr>
      </w:pPr>
    </w:p>
    <w:p w:rsidR="00587278" w:rsidRPr="00EC6130" w:rsidRDefault="00587278" w:rsidP="00DE28B8">
      <w:pPr>
        <w:rPr>
          <w:b/>
          <w:bCs/>
          <w:color w:val="2F5496" w:themeColor="accent1" w:themeShade="BF"/>
          <w:szCs w:val="20"/>
        </w:rPr>
      </w:pPr>
    </w:p>
    <w:p w:rsidR="001F119D" w:rsidRPr="00FA377F" w:rsidRDefault="001F119D" w:rsidP="00DE28B8">
      <w:pPr>
        <w:pStyle w:val="Heading2"/>
        <w:spacing w:before="0"/>
      </w:pPr>
      <w:bookmarkStart w:id="117" w:name="_Toc61289797"/>
      <w:bookmarkStart w:id="118" w:name="_Toc63099512"/>
      <w:bookmarkStart w:id="119" w:name="_Toc57368543"/>
      <w:bookmarkStart w:id="120" w:name="_Toc57975354"/>
      <w:bookmarkStart w:id="121" w:name="_Toc58581890"/>
      <w:r w:rsidRPr="00FA377F">
        <w:lastRenderedPageBreak/>
        <w:t>5.3 AKTIVNOSTI</w:t>
      </w:r>
      <w:bookmarkEnd w:id="117"/>
      <w:bookmarkEnd w:id="118"/>
      <w:r w:rsidR="00041E3B">
        <w:rPr>
          <w:rStyle w:val="FootnoteReference"/>
        </w:rPr>
        <w:footnoteReference w:id="25"/>
      </w:r>
      <w:r w:rsidRPr="00FA377F">
        <w:t xml:space="preserve"> </w:t>
      </w:r>
      <w:bookmarkEnd w:id="119"/>
      <w:bookmarkEnd w:id="120"/>
      <w:bookmarkEnd w:id="121"/>
    </w:p>
    <w:p w:rsidR="001F119D" w:rsidRPr="001372D2" w:rsidRDefault="001F119D" w:rsidP="00DE28B8"/>
    <w:tbl>
      <w:tblPr>
        <w:tblStyle w:val="TableGrid"/>
        <w:tblW w:w="0" w:type="auto"/>
        <w:tblLook w:val="04A0"/>
      </w:tblPr>
      <w:tblGrid>
        <w:gridCol w:w="738"/>
        <w:gridCol w:w="4590"/>
        <w:gridCol w:w="2435"/>
        <w:gridCol w:w="1255"/>
      </w:tblGrid>
      <w:tr w:rsidR="001F119D" w:rsidRPr="001372D2" w:rsidTr="00F67634">
        <w:tc>
          <w:tcPr>
            <w:tcW w:w="9018" w:type="dxa"/>
            <w:gridSpan w:val="4"/>
            <w:shd w:val="clear" w:color="auto" w:fill="FFD966" w:themeFill="accent4" w:themeFillTint="99"/>
          </w:tcPr>
          <w:p w:rsidR="00F15ADA" w:rsidRDefault="001F119D" w:rsidP="00F15ADA">
            <w:pPr>
              <w:rPr>
                <w:lang w:val="sl-SI"/>
              </w:rPr>
            </w:pPr>
            <w:r w:rsidRPr="001F119D">
              <w:rPr>
                <w:b/>
              </w:rPr>
              <w:t>Cilj 1</w:t>
            </w:r>
            <w:r w:rsidR="00F15ADA">
              <w:rPr>
                <w:b/>
              </w:rPr>
              <w:t>:</w:t>
            </w:r>
            <w:r w:rsidR="00F15ADA">
              <w:rPr>
                <w:lang w:val="sl-SI"/>
              </w:rPr>
              <w:t xml:space="preserve">  </w:t>
            </w:r>
            <w:r w:rsidR="00F15ADA" w:rsidRPr="00F15ADA">
              <w:rPr>
                <w:b/>
                <w:lang w:val="sl-SI"/>
              </w:rPr>
              <w:t>Povećanje nivoa znanja i vještina radne snage</w:t>
            </w:r>
          </w:p>
          <w:p w:rsidR="001F119D" w:rsidRPr="001372D2" w:rsidRDefault="001F119D" w:rsidP="00DE28B8">
            <w:pPr>
              <w:rPr>
                <w:b/>
              </w:rPr>
            </w:pPr>
          </w:p>
        </w:tc>
      </w:tr>
      <w:tr w:rsidR="001F119D" w:rsidRPr="001372D2" w:rsidTr="00D16837">
        <w:tc>
          <w:tcPr>
            <w:tcW w:w="738" w:type="dxa"/>
            <w:shd w:val="clear" w:color="auto" w:fill="E2EFD9" w:themeFill="accent6" w:themeFillTint="33"/>
          </w:tcPr>
          <w:p w:rsidR="001F119D" w:rsidRPr="001372D2" w:rsidRDefault="001F119D" w:rsidP="00DE28B8">
            <w:pPr>
              <w:rPr>
                <w:b/>
              </w:rPr>
            </w:pPr>
          </w:p>
        </w:tc>
        <w:tc>
          <w:tcPr>
            <w:tcW w:w="4590" w:type="dxa"/>
            <w:shd w:val="clear" w:color="auto" w:fill="E2EFD9" w:themeFill="accent6" w:themeFillTint="33"/>
          </w:tcPr>
          <w:p w:rsidR="001F119D" w:rsidRPr="001372D2" w:rsidRDefault="001F119D" w:rsidP="00DE28B8">
            <w:pPr>
              <w:rPr>
                <w:b/>
              </w:rPr>
            </w:pPr>
            <w:r>
              <w:rPr>
                <w:b/>
              </w:rPr>
              <w:t>Aktivnosti</w:t>
            </w:r>
          </w:p>
        </w:tc>
        <w:tc>
          <w:tcPr>
            <w:tcW w:w="2435" w:type="dxa"/>
            <w:shd w:val="clear" w:color="auto" w:fill="E2EFD9" w:themeFill="accent6" w:themeFillTint="33"/>
          </w:tcPr>
          <w:p w:rsidR="001F119D" w:rsidRPr="001372D2" w:rsidRDefault="001F119D" w:rsidP="00DE28B8">
            <w:pPr>
              <w:rPr>
                <w:b/>
              </w:rPr>
            </w:pPr>
            <w:r>
              <w:rPr>
                <w:b/>
              </w:rPr>
              <w:t>Ciljna grupa</w:t>
            </w:r>
          </w:p>
        </w:tc>
        <w:tc>
          <w:tcPr>
            <w:tcW w:w="1255" w:type="dxa"/>
            <w:shd w:val="clear" w:color="auto" w:fill="E2EFD9" w:themeFill="accent6" w:themeFillTint="33"/>
          </w:tcPr>
          <w:p w:rsidR="001F119D" w:rsidRPr="001372D2" w:rsidRDefault="001F119D" w:rsidP="00DE28B8">
            <w:pPr>
              <w:rPr>
                <w:b/>
              </w:rPr>
            </w:pPr>
            <w:r w:rsidRPr="001372D2">
              <w:rPr>
                <w:b/>
              </w:rPr>
              <w:t>Vremenski okvir</w:t>
            </w:r>
          </w:p>
        </w:tc>
      </w:tr>
      <w:tr w:rsidR="003D3069" w:rsidRPr="001372D2" w:rsidTr="00D16837">
        <w:tc>
          <w:tcPr>
            <w:tcW w:w="738" w:type="dxa"/>
            <w:tcBorders>
              <w:top w:val="single" w:sz="4" w:space="0" w:color="auto"/>
              <w:left w:val="single" w:sz="4" w:space="0" w:color="auto"/>
              <w:bottom w:val="single" w:sz="4" w:space="0" w:color="auto"/>
              <w:right w:val="single" w:sz="4" w:space="0" w:color="auto"/>
            </w:tcBorders>
          </w:tcPr>
          <w:p w:rsidR="003D3069" w:rsidRPr="00EC44C7" w:rsidRDefault="003D3069" w:rsidP="003D3069">
            <w:r w:rsidRPr="00EC44C7">
              <w:t xml:space="preserve">1.1 </w:t>
            </w:r>
          </w:p>
        </w:tc>
        <w:tc>
          <w:tcPr>
            <w:tcW w:w="4590"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lang w:val="bs-Latn-BA"/>
              </w:rPr>
              <w:t>Obuke za poljoprivrednike i turizam</w:t>
            </w:r>
          </w:p>
        </w:tc>
        <w:tc>
          <w:tcPr>
            <w:tcW w:w="2435" w:type="dxa"/>
            <w:tcBorders>
              <w:top w:val="single" w:sz="4" w:space="0" w:color="auto"/>
              <w:left w:val="single" w:sz="4" w:space="0" w:color="auto"/>
              <w:bottom w:val="single" w:sz="4" w:space="0" w:color="auto"/>
              <w:right w:val="single" w:sz="4" w:space="0" w:color="auto"/>
            </w:tcBorders>
          </w:tcPr>
          <w:p w:rsidR="003D3069" w:rsidRPr="00BE4FF9" w:rsidRDefault="003D3069" w:rsidP="003D3069">
            <w:r w:rsidRPr="003408F1">
              <w:rPr>
                <w:lang w:val="bs-Latn-BA"/>
              </w:rPr>
              <w:t>Poljoprivrednici</w:t>
            </w:r>
          </w:p>
        </w:tc>
        <w:tc>
          <w:tcPr>
            <w:tcW w:w="1255" w:type="dxa"/>
            <w:tcBorders>
              <w:top w:val="single" w:sz="4" w:space="0" w:color="auto"/>
              <w:left w:val="single" w:sz="4" w:space="0" w:color="auto"/>
              <w:bottom w:val="single" w:sz="4" w:space="0" w:color="auto"/>
              <w:right w:val="single" w:sz="4" w:space="0" w:color="auto"/>
            </w:tcBorders>
          </w:tcPr>
          <w:p w:rsidR="003D3069" w:rsidRPr="001372D2" w:rsidRDefault="003D3069" w:rsidP="003D3069">
            <w:r w:rsidRPr="003408F1">
              <w:rPr>
                <w:lang w:val="bs-Latn-BA"/>
              </w:rPr>
              <w:t>2021-2025.</w:t>
            </w:r>
          </w:p>
        </w:tc>
      </w:tr>
      <w:tr w:rsidR="003D3069" w:rsidRPr="001372D2" w:rsidTr="00D16837">
        <w:tc>
          <w:tcPr>
            <w:tcW w:w="738" w:type="dxa"/>
            <w:tcBorders>
              <w:top w:val="single" w:sz="4" w:space="0" w:color="auto"/>
              <w:left w:val="single" w:sz="4" w:space="0" w:color="auto"/>
              <w:bottom w:val="single" w:sz="4" w:space="0" w:color="auto"/>
              <w:right w:val="single" w:sz="4" w:space="0" w:color="auto"/>
            </w:tcBorders>
          </w:tcPr>
          <w:p w:rsidR="003D3069" w:rsidRPr="00EC44C7" w:rsidRDefault="003D3069" w:rsidP="003D3069">
            <w:r w:rsidRPr="00EC44C7">
              <w:t xml:space="preserve">1.2 </w:t>
            </w:r>
          </w:p>
        </w:tc>
        <w:tc>
          <w:tcPr>
            <w:tcW w:w="4590"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lang w:val="bs-Latn-BA"/>
              </w:rPr>
              <w:t>Programi za sticanje ključnih vještina – napredne IT vještine</w:t>
            </w:r>
          </w:p>
        </w:tc>
        <w:tc>
          <w:tcPr>
            <w:tcW w:w="2435" w:type="dxa"/>
            <w:tcBorders>
              <w:top w:val="single" w:sz="4" w:space="0" w:color="auto"/>
              <w:left w:val="single" w:sz="4" w:space="0" w:color="auto"/>
              <w:bottom w:val="single" w:sz="4" w:space="0" w:color="auto"/>
              <w:right w:val="single" w:sz="4" w:space="0" w:color="auto"/>
            </w:tcBorders>
          </w:tcPr>
          <w:p w:rsidR="003D3069" w:rsidRPr="005E2A88" w:rsidRDefault="003D3069" w:rsidP="003D3069">
            <w:pPr>
              <w:rPr>
                <w:lang w:val="bs-Latn-BA"/>
              </w:rPr>
            </w:pPr>
            <w:r w:rsidRPr="005E2A88">
              <w:rPr>
                <w:lang w:val="bs-Latn-BA"/>
              </w:rPr>
              <w:t xml:space="preserve">Zaposleni, nezaposleni </w:t>
            </w:r>
          </w:p>
        </w:tc>
        <w:tc>
          <w:tcPr>
            <w:tcW w:w="1255" w:type="dxa"/>
            <w:tcBorders>
              <w:top w:val="single" w:sz="4" w:space="0" w:color="auto"/>
              <w:left w:val="single" w:sz="4" w:space="0" w:color="auto"/>
              <w:bottom w:val="single" w:sz="4" w:space="0" w:color="auto"/>
              <w:right w:val="single" w:sz="4" w:space="0" w:color="auto"/>
            </w:tcBorders>
          </w:tcPr>
          <w:p w:rsidR="003D3069" w:rsidRPr="001372D2" w:rsidRDefault="003D3069" w:rsidP="003D3069">
            <w:r w:rsidRPr="003408F1">
              <w:rPr>
                <w:lang w:val="bs-Latn-BA"/>
              </w:rPr>
              <w:t>202</w:t>
            </w:r>
            <w:r>
              <w:rPr>
                <w:lang w:val="bs-Latn-BA"/>
              </w:rPr>
              <w:t>1</w:t>
            </w:r>
            <w:r w:rsidRPr="003408F1">
              <w:rPr>
                <w:lang w:val="bs-Latn-BA"/>
              </w:rPr>
              <w:t>-2025.</w:t>
            </w:r>
          </w:p>
        </w:tc>
      </w:tr>
      <w:tr w:rsidR="003D3069" w:rsidRPr="001372D2" w:rsidTr="00D16837">
        <w:tc>
          <w:tcPr>
            <w:tcW w:w="738" w:type="dxa"/>
            <w:tcBorders>
              <w:top w:val="single" w:sz="4" w:space="0" w:color="auto"/>
              <w:left w:val="single" w:sz="4" w:space="0" w:color="auto"/>
              <w:bottom w:val="single" w:sz="4" w:space="0" w:color="auto"/>
              <w:right w:val="single" w:sz="4" w:space="0" w:color="auto"/>
            </w:tcBorders>
          </w:tcPr>
          <w:p w:rsidR="003D3069" w:rsidRPr="00EC44C7" w:rsidRDefault="003D3069" w:rsidP="003D3069">
            <w:r w:rsidRPr="00EC44C7">
              <w:t xml:space="preserve">1.3   </w:t>
            </w:r>
          </w:p>
        </w:tc>
        <w:tc>
          <w:tcPr>
            <w:tcW w:w="4590"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lang w:val="bs-Latn-BA"/>
              </w:rPr>
              <w:t>Obrazovanje i osposobljavanje odraslih (ZZZCG)</w:t>
            </w:r>
          </w:p>
        </w:tc>
        <w:tc>
          <w:tcPr>
            <w:tcW w:w="2435"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iCs/>
                <w:lang w:val="bs-Latn-BA"/>
              </w:rPr>
              <w:t>Nezaposlena lica prijavljena na evidenciji ZZZCG- Biroa rada</w:t>
            </w:r>
          </w:p>
        </w:tc>
        <w:tc>
          <w:tcPr>
            <w:tcW w:w="1255"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lang w:val="bs-Latn-BA"/>
              </w:rPr>
              <w:t>2021-2025.</w:t>
            </w:r>
          </w:p>
        </w:tc>
      </w:tr>
      <w:tr w:rsidR="003D3069" w:rsidRPr="001372D2" w:rsidTr="00D16837">
        <w:tc>
          <w:tcPr>
            <w:tcW w:w="738" w:type="dxa"/>
            <w:tcBorders>
              <w:top w:val="single" w:sz="4" w:space="0" w:color="auto"/>
              <w:left w:val="single" w:sz="4" w:space="0" w:color="auto"/>
              <w:bottom w:val="single" w:sz="4" w:space="0" w:color="auto"/>
              <w:right w:val="single" w:sz="4" w:space="0" w:color="auto"/>
            </w:tcBorders>
          </w:tcPr>
          <w:p w:rsidR="003D3069" w:rsidRPr="00EC44C7" w:rsidRDefault="003D3069" w:rsidP="003D3069">
            <w:r w:rsidRPr="00EC44C7">
              <w:t xml:space="preserve">1.4 </w:t>
            </w:r>
          </w:p>
        </w:tc>
        <w:tc>
          <w:tcPr>
            <w:tcW w:w="4590"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lang w:val="bs-Latn-BA"/>
              </w:rPr>
              <w:t>Osposobljavanje za samostalan rad (ZZZCG)</w:t>
            </w:r>
          </w:p>
        </w:tc>
        <w:tc>
          <w:tcPr>
            <w:tcW w:w="2435"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iCs/>
                <w:lang w:val="bs-Latn-BA"/>
              </w:rPr>
              <w:t>Nezaposlena lica prijavljena na evidenciji ZZZCG- Biroa rada</w:t>
            </w:r>
          </w:p>
        </w:tc>
        <w:tc>
          <w:tcPr>
            <w:tcW w:w="1255"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lang w:val="bs-Latn-BA"/>
              </w:rPr>
              <w:t>2021-2025.</w:t>
            </w:r>
          </w:p>
        </w:tc>
      </w:tr>
      <w:tr w:rsidR="003D3069" w:rsidRPr="001372D2" w:rsidTr="00D16837">
        <w:tc>
          <w:tcPr>
            <w:tcW w:w="738" w:type="dxa"/>
            <w:tcBorders>
              <w:top w:val="single" w:sz="4" w:space="0" w:color="auto"/>
              <w:left w:val="single" w:sz="4" w:space="0" w:color="auto"/>
              <w:bottom w:val="single" w:sz="4" w:space="0" w:color="auto"/>
              <w:right w:val="single" w:sz="4" w:space="0" w:color="auto"/>
            </w:tcBorders>
          </w:tcPr>
          <w:p w:rsidR="003D3069" w:rsidRPr="00EC44C7" w:rsidRDefault="003D3069" w:rsidP="003D3069">
            <w:r w:rsidRPr="00EC44C7">
              <w:t>1.5.</w:t>
            </w:r>
          </w:p>
        </w:tc>
        <w:tc>
          <w:tcPr>
            <w:tcW w:w="4590"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lang w:val="bs-Latn-BA"/>
              </w:rPr>
              <w:t>Osposobljavanje za rad kod poslodavca  (ZZZCG)</w:t>
            </w:r>
          </w:p>
        </w:tc>
        <w:tc>
          <w:tcPr>
            <w:tcW w:w="2435"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lang w:val="bs-Latn-BA"/>
              </w:rPr>
              <w:t>Nezaposlena lica prijavljena na evidenciji ZZZCG- Biroa rada</w:t>
            </w:r>
          </w:p>
        </w:tc>
        <w:tc>
          <w:tcPr>
            <w:tcW w:w="1255"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lang w:val="bs-Latn-BA"/>
              </w:rPr>
              <w:t>2021-2025.</w:t>
            </w:r>
          </w:p>
        </w:tc>
      </w:tr>
      <w:tr w:rsidR="003D3069" w:rsidRPr="001372D2" w:rsidTr="00D16837">
        <w:tc>
          <w:tcPr>
            <w:tcW w:w="738" w:type="dxa"/>
            <w:tcBorders>
              <w:top w:val="single" w:sz="4" w:space="0" w:color="auto"/>
              <w:left w:val="single" w:sz="4" w:space="0" w:color="auto"/>
              <w:bottom w:val="single" w:sz="4" w:space="0" w:color="auto"/>
              <w:right w:val="single" w:sz="4" w:space="0" w:color="auto"/>
            </w:tcBorders>
          </w:tcPr>
          <w:p w:rsidR="003D3069" w:rsidRPr="00EC44C7" w:rsidRDefault="003D3069" w:rsidP="003D3069">
            <w:r w:rsidRPr="00EC44C7">
              <w:t>1.6</w:t>
            </w:r>
          </w:p>
        </w:tc>
        <w:tc>
          <w:tcPr>
            <w:tcW w:w="4590" w:type="dxa"/>
            <w:tcBorders>
              <w:top w:val="single" w:sz="4" w:space="0" w:color="auto"/>
              <w:left w:val="single" w:sz="4" w:space="0" w:color="auto"/>
              <w:bottom w:val="single" w:sz="4" w:space="0" w:color="auto"/>
              <w:right w:val="single" w:sz="4" w:space="0" w:color="auto"/>
            </w:tcBorders>
          </w:tcPr>
          <w:p w:rsidR="003D3069" w:rsidRPr="00EC44C7" w:rsidRDefault="003D3069" w:rsidP="003D3069">
            <w:pPr>
              <w:rPr>
                <w:lang w:val="bs-Latn-BA"/>
              </w:rPr>
            </w:pPr>
            <w:r w:rsidRPr="00EC44C7">
              <w:rPr>
                <w:rFonts w:eastAsia="Calibri"/>
                <w:lang w:val="bs-Latn-BA"/>
              </w:rPr>
              <w:t>Radionice  za traženje posla</w:t>
            </w:r>
          </w:p>
        </w:tc>
        <w:tc>
          <w:tcPr>
            <w:tcW w:w="2435" w:type="dxa"/>
            <w:tcBorders>
              <w:top w:val="single" w:sz="4" w:space="0" w:color="auto"/>
              <w:left w:val="single" w:sz="4" w:space="0" w:color="auto"/>
              <w:bottom w:val="single" w:sz="4" w:space="0" w:color="auto"/>
              <w:right w:val="single" w:sz="4" w:space="0" w:color="auto"/>
            </w:tcBorders>
          </w:tcPr>
          <w:p w:rsidR="003D3069" w:rsidRPr="005E2A88" w:rsidRDefault="003D3069" w:rsidP="003D3069">
            <w:pPr>
              <w:rPr>
                <w:lang w:val="bs-Latn-BA"/>
              </w:rPr>
            </w:pPr>
            <w:r w:rsidRPr="005E2A88">
              <w:rPr>
                <w:lang w:val="bs-Latn-BA"/>
              </w:rPr>
              <w:t xml:space="preserve">Mladi </w:t>
            </w:r>
          </w:p>
        </w:tc>
        <w:tc>
          <w:tcPr>
            <w:tcW w:w="1255" w:type="dxa"/>
            <w:tcBorders>
              <w:top w:val="single" w:sz="4" w:space="0" w:color="auto"/>
              <w:left w:val="single" w:sz="4" w:space="0" w:color="auto"/>
              <w:bottom w:val="single" w:sz="4" w:space="0" w:color="auto"/>
              <w:right w:val="single" w:sz="4" w:space="0" w:color="auto"/>
            </w:tcBorders>
          </w:tcPr>
          <w:p w:rsidR="003D3069" w:rsidRPr="001372D2" w:rsidRDefault="003D3069" w:rsidP="003D3069">
            <w:r w:rsidRPr="003408F1">
              <w:rPr>
                <w:lang w:val="bs-Latn-BA"/>
              </w:rPr>
              <w:t>202</w:t>
            </w:r>
            <w:r>
              <w:rPr>
                <w:lang w:val="bs-Latn-BA"/>
              </w:rPr>
              <w:t>2</w:t>
            </w:r>
            <w:r w:rsidRPr="003408F1">
              <w:rPr>
                <w:lang w:val="bs-Latn-BA"/>
              </w:rPr>
              <w:t>-2025.</w:t>
            </w:r>
          </w:p>
        </w:tc>
      </w:tr>
    </w:tbl>
    <w:p w:rsidR="001F119D" w:rsidRDefault="001F119D" w:rsidP="00DE28B8"/>
    <w:p w:rsidR="001F119D" w:rsidRPr="001372D2" w:rsidRDefault="001F119D" w:rsidP="00DE28B8"/>
    <w:tbl>
      <w:tblPr>
        <w:tblStyle w:val="TableGrid"/>
        <w:tblW w:w="0" w:type="auto"/>
        <w:tblLook w:val="04A0"/>
      </w:tblPr>
      <w:tblGrid>
        <w:gridCol w:w="738"/>
        <w:gridCol w:w="4561"/>
        <w:gridCol w:w="2464"/>
        <w:gridCol w:w="1220"/>
      </w:tblGrid>
      <w:tr w:rsidR="001F119D" w:rsidRPr="001372D2" w:rsidTr="00D16837">
        <w:tc>
          <w:tcPr>
            <w:tcW w:w="8983" w:type="dxa"/>
            <w:gridSpan w:val="4"/>
            <w:shd w:val="clear" w:color="auto" w:fill="FFD966" w:themeFill="accent4" w:themeFillTint="99"/>
          </w:tcPr>
          <w:p w:rsidR="00F15ADA" w:rsidRDefault="001F119D" w:rsidP="00F15ADA">
            <w:pPr>
              <w:rPr>
                <w:lang w:val="sl-SI"/>
              </w:rPr>
            </w:pPr>
            <w:r w:rsidRPr="00CE79A9">
              <w:rPr>
                <w:b/>
              </w:rPr>
              <w:t>Cilj 2</w:t>
            </w:r>
            <w:r w:rsidR="00F15ADA">
              <w:rPr>
                <w:b/>
              </w:rPr>
              <w:t>:</w:t>
            </w:r>
            <w:r w:rsidRPr="00CE79A9">
              <w:rPr>
                <w:b/>
              </w:rPr>
              <w:t xml:space="preserve"> </w:t>
            </w:r>
            <w:r w:rsidR="00F15ADA" w:rsidRPr="00F15ADA">
              <w:rPr>
                <w:b/>
                <w:lang w:val="sl-SI"/>
              </w:rPr>
              <w:t>Unapređenje razvoja preduzetništva</w:t>
            </w:r>
          </w:p>
          <w:p w:rsidR="001F119D" w:rsidRPr="001372D2" w:rsidRDefault="001F119D" w:rsidP="00DE28B8">
            <w:pPr>
              <w:rPr>
                <w:b/>
              </w:rPr>
            </w:pPr>
          </w:p>
        </w:tc>
      </w:tr>
      <w:tr w:rsidR="001F119D" w:rsidRPr="001372D2" w:rsidTr="00D16837">
        <w:tc>
          <w:tcPr>
            <w:tcW w:w="738" w:type="dxa"/>
            <w:shd w:val="clear" w:color="auto" w:fill="E2EFD9" w:themeFill="accent6" w:themeFillTint="33"/>
          </w:tcPr>
          <w:p w:rsidR="001F119D" w:rsidRPr="001372D2" w:rsidRDefault="001F119D" w:rsidP="00DE28B8">
            <w:pPr>
              <w:rPr>
                <w:b/>
              </w:rPr>
            </w:pPr>
          </w:p>
        </w:tc>
        <w:tc>
          <w:tcPr>
            <w:tcW w:w="4561" w:type="dxa"/>
            <w:shd w:val="clear" w:color="auto" w:fill="E2EFD9" w:themeFill="accent6" w:themeFillTint="33"/>
          </w:tcPr>
          <w:p w:rsidR="001F119D" w:rsidRPr="001372D2" w:rsidRDefault="001F119D" w:rsidP="00DE28B8">
            <w:pPr>
              <w:rPr>
                <w:b/>
              </w:rPr>
            </w:pPr>
            <w:r>
              <w:rPr>
                <w:b/>
              </w:rPr>
              <w:t>Aktivnosti</w:t>
            </w:r>
          </w:p>
        </w:tc>
        <w:tc>
          <w:tcPr>
            <w:tcW w:w="2464" w:type="dxa"/>
            <w:shd w:val="clear" w:color="auto" w:fill="E2EFD9" w:themeFill="accent6" w:themeFillTint="33"/>
          </w:tcPr>
          <w:p w:rsidR="001F119D" w:rsidRPr="001372D2" w:rsidRDefault="001F119D" w:rsidP="00DE28B8">
            <w:pPr>
              <w:rPr>
                <w:b/>
              </w:rPr>
            </w:pPr>
            <w:r>
              <w:rPr>
                <w:b/>
              </w:rPr>
              <w:t>Ciljna grupa</w:t>
            </w:r>
          </w:p>
        </w:tc>
        <w:tc>
          <w:tcPr>
            <w:tcW w:w="1220" w:type="dxa"/>
            <w:shd w:val="clear" w:color="auto" w:fill="E2EFD9" w:themeFill="accent6" w:themeFillTint="33"/>
          </w:tcPr>
          <w:p w:rsidR="001F119D" w:rsidRPr="001372D2" w:rsidRDefault="001F119D" w:rsidP="00DE28B8">
            <w:pPr>
              <w:rPr>
                <w:b/>
              </w:rPr>
            </w:pPr>
            <w:r w:rsidRPr="001372D2">
              <w:rPr>
                <w:b/>
              </w:rPr>
              <w:t>Vremenski okvir</w:t>
            </w:r>
          </w:p>
        </w:tc>
      </w:tr>
      <w:tr w:rsidR="005E2A88" w:rsidRPr="001372D2" w:rsidTr="00D16837">
        <w:trPr>
          <w:trHeight w:val="250"/>
        </w:trPr>
        <w:tc>
          <w:tcPr>
            <w:tcW w:w="738" w:type="dxa"/>
            <w:tcBorders>
              <w:top w:val="single" w:sz="4" w:space="0" w:color="auto"/>
              <w:left w:val="single" w:sz="4" w:space="0" w:color="auto"/>
              <w:bottom w:val="single" w:sz="4" w:space="0" w:color="auto"/>
              <w:right w:val="single" w:sz="4" w:space="0" w:color="auto"/>
            </w:tcBorders>
          </w:tcPr>
          <w:p w:rsidR="005E2A88" w:rsidRPr="001372D2" w:rsidRDefault="005E2A88" w:rsidP="00DE28B8">
            <w:r>
              <w:t xml:space="preserve">2.1 </w:t>
            </w:r>
          </w:p>
        </w:tc>
        <w:tc>
          <w:tcPr>
            <w:tcW w:w="4561" w:type="dxa"/>
            <w:tcBorders>
              <w:top w:val="single" w:sz="4" w:space="0" w:color="auto"/>
              <w:left w:val="single" w:sz="4" w:space="0" w:color="auto"/>
              <w:bottom w:val="single" w:sz="4" w:space="0" w:color="auto"/>
              <w:right w:val="single" w:sz="4" w:space="0" w:color="auto"/>
            </w:tcBorders>
          </w:tcPr>
          <w:p w:rsidR="005E2A88" w:rsidRPr="003408F1" w:rsidRDefault="005E2A88" w:rsidP="007124B0">
            <w:pPr>
              <w:rPr>
                <w:lang w:val="bs-Latn-BA"/>
              </w:rPr>
            </w:pPr>
            <w:r w:rsidRPr="003408F1">
              <w:rPr>
                <w:lang w:val="bs-Latn-BA"/>
              </w:rPr>
              <w:t xml:space="preserve">Mentorska podrška poljoprivrednicima i prerađivačima hrane </w:t>
            </w:r>
          </w:p>
        </w:tc>
        <w:tc>
          <w:tcPr>
            <w:tcW w:w="2464" w:type="dxa"/>
            <w:tcBorders>
              <w:top w:val="single" w:sz="4" w:space="0" w:color="auto"/>
              <w:left w:val="single" w:sz="4" w:space="0" w:color="auto"/>
              <w:bottom w:val="single" w:sz="4" w:space="0" w:color="auto"/>
              <w:right w:val="single" w:sz="4" w:space="0" w:color="auto"/>
            </w:tcBorders>
          </w:tcPr>
          <w:p w:rsidR="005E2A88" w:rsidRPr="003408F1" w:rsidRDefault="005E2A88" w:rsidP="007124B0">
            <w:pPr>
              <w:rPr>
                <w:lang w:val="bs-Latn-BA"/>
              </w:rPr>
            </w:pPr>
            <w:r w:rsidRPr="003408F1">
              <w:rPr>
                <w:lang w:val="bs-Latn-BA"/>
              </w:rPr>
              <w:t xml:space="preserve">Poljoprivrednici </w:t>
            </w:r>
          </w:p>
        </w:tc>
        <w:tc>
          <w:tcPr>
            <w:tcW w:w="1220" w:type="dxa"/>
            <w:tcBorders>
              <w:top w:val="single" w:sz="4" w:space="0" w:color="auto"/>
              <w:left w:val="single" w:sz="4" w:space="0" w:color="auto"/>
              <w:bottom w:val="single" w:sz="4" w:space="0" w:color="auto"/>
              <w:right w:val="single" w:sz="4" w:space="0" w:color="auto"/>
            </w:tcBorders>
          </w:tcPr>
          <w:p w:rsidR="005E2A88" w:rsidRPr="003408F1" w:rsidRDefault="005E2A88" w:rsidP="007124B0">
            <w:pPr>
              <w:rPr>
                <w:lang w:val="bs-Latn-BA"/>
              </w:rPr>
            </w:pPr>
            <w:r w:rsidRPr="003408F1">
              <w:rPr>
                <w:lang w:val="bs-Latn-BA"/>
              </w:rPr>
              <w:t>2021-2025.</w:t>
            </w:r>
          </w:p>
        </w:tc>
      </w:tr>
      <w:tr w:rsidR="00337AA8" w:rsidRPr="001372D2" w:rsidTr="00D16837">
        <w:tc>
          <w:tcPr>
            <w:tcW w:w="738" w:type="dxa"/>
            <w:tcBorders>
              <w:top w:val="single" w:sz="4" w:space="0" w:color="auto"/>
              <w:left w:val="single" w:sz="4" w:space="0" w:color="auto"/>
              <w:bottom w:val="single" w:sz="4" w:space="0" w:color="auto"/>
              <w:right w:val="single" w:sz="4" w:space="0" w:color="auto"/>
            </w:tcBorders>
          </w:tcPr>
          <w:p w:rsidR="00337AA8" w:rsidRPr="001372D2" w:rsidRDefault="00337AA8" w:rsidP="00337AA8">
            <w:r>
              <w:t xml:space="preserve">2.2 </w:t>
            </w:r>
          </w:p>
        </w:tc>
        <w:tc>
          <w:tcPr>
            <w:tcW w:w="4561"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 xml:space="preserve">Mikro-krediti </w:t>
            </w:r>
          </w:p>
        </w:tc>
        <w:tc>
          <w:tcPr>
            <w:tcW w:w="2464"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 xml:space="preserve">Preduzetnici </w:t>
            </w:r>
          </w:p>
        </w:tc>
        <w:tc>
          <w:tcPr>
            <w:tcW w:w="1220"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2021-2025.</w:t>
            </w:r>
          </w:p>
        </w:tc>
      </w:tr>
      <w:tr w:rsidR="00337AA8" w:rsidRPr="001372D2" w:rsidTr="00D16837">
        <w:tc>
          <w:tcPr>
            <w:tcW w:w="738" w:type="dxa"/>
            <w:tcBorders>
              <w:top w:val="single" w:sz="4" w:space="0" w:color="auto"/>
              <w:left w:val="single" w:sz="4" w:space="0" w:color="auto"/>
              <w:bottom w:val="single" w:sz="4" w:space="0" w:color="auto"/>
              <w:right w:val="single" w:sz="4" w:space="0" w:color="auto"/>
            </w:tcBorders>
          </w:tcPr>
          <w:p w:rsidR="00337AA8" w:rsidRPr="001372D2" w:rsidRDefault="00337AA8" w:rsidP="00337AA8">
            <w:r>
              <w:t xml:space="preserve">2.3   </w:t>
            </w:r>
          </w:p>
        </w:tc>
        <w:tc>
          <w:tcPr>
            <w:tcW w:w="4561"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 xml:space="preserve">Ustupanje zemljišta za poljoprivrednike </w:t>
            </w:r>
          </w:p>
        </w:tc>
        <w:tc>
          <w:tcPr>
            <w:tcW w:w="2464"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iCs/>
                <w:lang w:val="bs-Latn-BA"/>
              </w:rPr>
              <w:t xml:space="preserve">Poljoprivrednici </w:t>
            </w:r>
          </w:p>
        </w:tc>
        <w:tc>
          <w:tcPr>
            <w:tcW w:w="1220"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2021-2025.</w:t>
            </w:r>
          </w:p>
        </w:tc>
      </w:tr>
      <w:tr w:rsidR="00337AA8" w:rsidRPr="001372D2" w:rsidTr="00D16837">
        <w:tc>
          <w:tcPr>
            <w:tcW w:w="738" w:type="dxa"/>
            <w:tcBorders>
              <w:top w:val="single" w:sz="4" w:space="0" w:color="auto"/>
              <w:left w:val="single" w:sz="4" w:space="0" w:color="auto"/>
              <w:bottom w:val="single" w:sz="4" w:space="0" w:color="auto"/>
              <w:right w:val="single" w:sz="4" w:space="0" w:color="auto"/>
            </w:tcBorders>
          </w:tcPr>
          <w:p w:rsidR="00337AA8" w:rsidRPr="001372D2" w:rsidRDefault="00337AA8" w:rsidP="00337AA8">
            <w:r w:rsidRPr="00BE4FF9">
              <w:t>2.4</w:t>
            </w:r>
          </w:p>
        </w:tc>
        <w:tc>
          <w:tcPr>
            <w:tcW w:w="4561"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Nefiskalna pomoć: savjetovanje, mentorska podrška novim preduzetnicima, besplatno knjigovodstvo-računovodstvo itd.</w:t>
            </w:r>
          </w:p>
        </w:tc>
        <w:tc>
          <w:tcPr>
            <w:tcW w:w="2464"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iCs/>
                <w:color w:val="FF0000"/>
                <w:lang w:val="bs-Latn-BA"/>
              </w:rPr>
            </w:pPr>
            <w:r w:rsidRPr="003408F1">
              <w:rPr>
                <w:lang w:val="bs-Latn-BA"/>
              </w:rPr>
              <w:t xml:space="preserve">Početnici u biznisu </w:t>
            </w:r>
          </w:p>
        </w:tc>
        <w:tc>
          <w:tcPr>
            <w:tcW w:w="1220"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2021-2025.</w:t>
            </w:r>
          </w:p>
        </w:tc>
      </w:tr>
      <w:tr w:rsidR="00337AA8" w:rsidRPr="001372D2" w:rsidTr="00D16837">
        <w:tc>
          <w:tcPr>
            <w:tcW w:w="738" w:type="dxa"/>
            <w:tcBorders>
              <w:top w:val="single" w:sz="4" w:space="0" w:color="auto"/>
              <w:left w:val="single" w:sz="4" w:space="0" w:color="auto"/>
              <w:bottom w:val="single" w:sz="4" w:space="0" w:color="auto"/>
              <w:right w:val="single" w:sz="4" w:space="0" w:color="auto"/>
            </w:tcBorders>
          </w:tcPr>
          <w:p w:rsidR="00337AA8" w:rsidRPr="001372D2" w:rsidRDefault="00337AA8" w:rsidP="00337AA8">
            <w:r>
              <w:t xml:space="preserve">2.5 </w:t>
            </w:r>
          </w:p>
        </w:tc>
        <w:tc>
          <w:tcPr>
            <w:tcW w:w="4561"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Podsticaj</w:t>
            </w:r>
            <w:r>
              <w:rPr>
                <w:lang w:val="bs-Latn-BA"/>
              </w:rPr>
              <w:t>i</w:t>
            </w:r>
            <w:r w:rsidRPr="003408F1">
              <w:rPr>
                <w:lang w:val="bs-Latn-BA"/>
              </w:rPr>
              <w:t xml:space="preserve"> za žensko preduzetništvo </w:t>
            </w:r>
          </w:p>
        </w:tc>
        <w:tc>
          <w:tcPr>
            <w:tcW w:w="2464"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 xml:space="preserve">Nezaposlene žene </w:t>
            </w:r>
            <w:r>
              <w:rPr>
                <w:lang w:val="bs-Latn-BA"/>
              </w:rPr>
              <w:t>i</w:t>
            </w:r>
            <w:r w:rsidRPr="003408F1">
              <w:rPr>
                <w:lang w:val="bs-Latn-BA"/>
              </w:rPr>
              <w:t xml:space="preserve"> preduzetnice </w:t>
            </w:r>
          </w:p>
        </w:tc>
        <w:tc>
          <w:tcPr>
            <w:tcW w:w="1220"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2021-2025.</w:t>
            </w:r>
          </w:p>
        </w:tc>
      </w:tr>
      <w:tr w:rsidR="00337AA8" w:rsidRPr="001372D2" w:rsidTr="00D16837">
        <w:tc>
          <w:tcPr>
            <w:tcW w:w="738" w:type="dxa"/>
            <w:tcBorders>
              <w:top w:val="single" w:sz="4" w:space="0" w:color="auto"/>
              <w:left w:val="single" w:sz="4" w:space="0" w:color="auto"/>
              <w:bottom w:val="single" w:sz="4" w:space="0" w:color="auto"/>
              <w:right w:val="single" w:sz="4" w:space="0" w:color="auto"/>
            </w:tcBorders>
          </w:tcPr>
          <w:p w:rsidR="00337AA8" w:rsidRPr="001372D2" w:rsidRDefault="00337AA8" w:rsidP="00337AA8">
            <w:r>
              <w:t>2.6</w:t>
            </w:r>
          </w:p>
        </w:tc>
        <w:tc>
          <w:tcPr>
            <w:tcW w:w="4561"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 xml:space="preserve">Podrška start-upovima </w:t>
            </w:r>
          </w:p>
        </w:tc>
        <w:tc>
          <w:tcPr>
            <w:tcW w:w="2464"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 xml:space="preserve">Nove firme u kreativnom preduzetništvu </w:t>
            </w:r>
          </w:p>
        </w:tc>
        <w:tc>
          <w:tcPr>
            <w:tcW w:w="1220" w:type="dxa"/>
            <w:tcBorders>
              <w:top w:val="single" w:sz="4" w:space="0" w:color="auto"/>
              <w:left w:val="single" w:sz="4" w:space="0" w:color="auto"/>
              <w:bottom w:val="single" w:sz="4" w:space="0" w:color="auto"/>
              <w:right w:val="single" w:sz="4" w:space="0" w:color="auto"/>
            </w:tcBorders>
          </w:tcPr>
          <w:p w:rsidR="00337AA8" w:rsidRPr="003408F1" w:rsidRDefault="00337AA8" w:rsidP="00337AA8">
            <w:pPr>
              <w:rPr>
                <w:lang w:val="bs-Latn-BA"/>
              </w:rPr>
            </w:pPr>
            <w:r w:rsidRPr="003408F1">
              <w:rPr>
                <w:lang w:val="bs-Latn-BA"/>
              </w:rPr>
              <w:t>2021-2025.</w:t>
            </w:r>
          </w:p>
        </w:tc>
      </w:tr>
      <w:tr w:rsidR="00337AA8" w:rsidRPr="001372D2" w:rsidTr="00D16837">
        <w:tc>
          <w:tcPr>
            <w:tcW w:w="738" w:type="dxa"/>
          </w:tcPr>
          <w:p w:rsidR="00337AA8" w:rsidRPr="001372D2" w:rsidRDefault="00337AA8" w:rsidP="00337AA8">
            <w:r>
              <w:t>2.7</w:t>
            </w:r>
          </w:p>
        </w:tc>
        <w:tc>
          <w:tcPr>
            <w:tcW w:w="4561" w:type="dxa"/>
          </w:tcPr>
          <w:p w:rsidR="00337AA8" w:rsidRPr="003408F1" w:rsidRDefault="00337AA8" w:rsidP="00337AA8">
            <w:pPr>
              <w:rPr>
                <w:lang w:val="bs-Latn-BA"/>
              </w:rPr>
            </w:pPr>
            <w:r w:rsidRPr="003408F1">
              <w:rPr>
                <w:lang w:val="bs-Latn-BA"/>
              </w:rPr>
              <w:t xml:space="preserve">Mreža mentorki za žene </w:t>
            </w:r>
          </w:p>
        </w:tc>
        <w:tc>
          <w:tcPr>
            <w:tcW w:w="2464" w:type="dxa"/>
          </w:tcPr>
          <w:p w:rsidR="00337AA8" w:rsidRPr="003408F1" w:rsidRDefault="00337AA8" w:rsidP="00337AA8">
            <w:pPr>
              <w:rPr>
                <w:lang w:val="bs-Latn-BA"/>
              </w:rPr>
            </w:pPr>
            <w:r w:rsidRPr="003408F1">
              <w:rPr>
                <w:lang w:val="bs-Latn-BA"/>
              </w:rPr>
              <w:t>Zaposlene žene</w:t>
            </w:r>
          </w:p>
        </w:tc>
        <w:tc>
          <w:tcPr>
            <w:tcW w:w="1220" w:type="dxa"/>
          </w:tcPr>
          <w:p w:rsidR="00337AA8" w:rsidRPr="003408F1" w:rsidRDefault="00337AA8" w:rsidP="00337AA8">
            <w:pPr>
              <w:rPr>
                <w:lang w:val="bs-Latn-BA"/>
              </w:rPr>
            </w:pPr>
            <w:r w:rsidRPr="003408F1">
              <w:rPr>
                <w:lang w:val="bs-Latn-BA"/>
              </w:rPr>
              <w:t>202</w:t>
            </w:r>
            <w:r>
              <w:rPr>
                <w:lang w:val="bs-Latn-BA"/>
              </w:rPr>
              <w:t>2</w:t>
            </w:r>
            <w:r w:rsidRPr="003408F1">
              <w:rPr>
                <w:lang w:val="bs-Latn-BA"/>
              </w:rPr>
              <w:t>-2025.</w:t>
            </w:r>
          </w:p>
        </w:tc>
      </w:tr>
      <w:tr w:rsidR="00337AA8" w:rsidRPr="001372D2" w:rsidTr="00D16837">
        <w:tc>
          <w:tcPr>
            <w:tcW w:w="738" w:type="dxa"/>
          </w:tcPr>
          <w:p w:rsidR="00337AA8" w:rsidRPr="001372D2" w:rsidRDefault="00337AA8" w:rsidP="00337AA8">
            <w:r>
              <w:t>2.8</w:t>
            </w:r>
          </w:p>
        </w:tc>
        <w:tc>
          <w:tcPr>
            <w:tcW w:w="4561" w:type="dxa"/>
          </w:tcPr>
          <w:p w:rsidR="00337AA8" w:rsidRPr="003408F1" w:rsidRDefault="00337AA8" w:rsidP="00337AA8">
            <w:pPr>
              <w:rPr>
                <w:lang w:val="bs-Latn-BA"/>
              </w:rPr>
            </w:pPr>
            <w:r w:rsidRPr="003408F1">
              <w:rPr>
                <w:lang w:val="bs-Latn-BA"/>
              </w:rPr>
              <w:t xml:space="preserve">Online preduzetničko savjetovalište </w:t>
            </w:r>
          </w:p>
        </w:tc>
        <w:tc>
          <w:tcPr>
            <w:tcW w:w="2464" w:type="dxa"/>
          </w:tcPr>
          <w:p w:rsidR="00337AA8" w:rsidRPr="003408F1" w:rsidRDefault="00337AA8" w:rsidP="00337AA8">
            <w:pPr>
              <w:rPr>
                <w:lang w:val="bs-Latn-BA"/>
              </w:rPr>
            </w:pPr>
            <w:r w:rsidRPr="003408F1">
              <w:rPr>
                <w:lang w:val="bs-Latn-BA"/>
              </w:rPr>
              <w:t xml:space="preserve">Preduzetnice </w:t>
            </w:r>
          </w:p>
        </w:tc>
        <w:tc>
          <w:tcPr>
            <w:tcW w:w="1220" w:type="dxa"/>
          </w:tcPr>
          <w:p w:rsidR="00337AA8" w:rsidRPr="003408F1" w:rsidRDefault="00337AA8" w:rsidP="00337AA8">
            <w:pPr>
              <w:rPr>
                <w:lang w:val="bs-Latn-BA"/>
              </w:rPr>
            </w:pPr>
            <w:r w:rsidRPr="003408F1">
              <w:rPr>
                <w:lang w:val="bs-Latn-BA"/>
              </w:rPr>
              <w:t>2022-2025.</w:t>
            </w:r>
          </w:p>
        </w:tc>
      </w:tr>
    </w:tbl>
    <w:p w:rsidR="001F119D" w:rsidRDefault="001F119D" w:rsidP="00DE28B8"/>
    <w:tbl>
      <w:tblPr>
        <w:tblStyle w:val="TableGrid"/>
        <w:tblW w:w="0" w:type="auto"/>
        <w:tblLayout w:type="fixed"/>
        <w:tblLook w:val="04A0"/>
      </w:tblPr>
      <w:tblGrid>
        <w:gridCol w:w="738"/>
        <w:gridCol w:w="4590"/>
        <w:gridCol w:w="2435"/>
        <w:gridCol w:w="1220"/>
      </w:tblGrid>
      <w:tr w:rsidR="001F119D" w:rsidRPr="001372D2" w:rsidTr="00D16837">
        <w:tc>
          <w:tcPr>
            <w:tcW w:w="8983" w:type="dxa"/>
            <w:gridSpan w:val="4"/>
            <w:shd w:val="clear" w:color="auto" w:fill="FFD966" w:themeFill="accent4" w:themeFillTint="99"/>
          </w:tcPr>
          <w:p w:rsidR="001F119D" w:rsidRPr="001F119D" w:rsidRDefault="001F119D" w:rsidP="00DE28B8">
            <w:pPr>
              <w:rPr>
                <w:b/>
              </w:rPr>
            </w:pPr>
            <w:r w:rsidRPr="001F119D">
              <w:rPr>
                <w:b/>
              </w:rPr>
              <w:t>Cilj 3</w:t>
            </w:r>
            <w:r w:rsidR="00F15ADA">
              <w:rPr>
                <w:b/>
              </w:rPr>
              <w:t>:</w:t>
            </w:r>
            <w:r w:rsidR="00F15ADA">
              <w:rPr>
                <w:lang w:val="sl-SI"/>
              </w:rPr>
              <w:t xml:space="preserve"> </w:t>
            </w:r>
            <w:r w:rsidR="00F15ADA" w:rsidRPr="00F15ADA">
              <w:rPr>
                <w:b/>
                <w:lang w:val="sl-SI"/>
              </w:rPr>
              <w:t>Povećanje uključenosti ranjivih grupa na tržište rada</w:t>
            </w:r>
          </w:p>
        </w:tc>
      </w:tr>
      <w:tr w:rsidR="001F119D" w:rsidRPr="001372D2" w:rsidTr="00D16837">
        <w:tc>
          <w:tcPr>
            <w:tcW w:w="738" w:type="dxa"/>
            <w:shd w:val="clear" w:color="auto" w:fill="F2F2F2" w:themeFill="background1" w:themeFillShade="F2"/>
          </w:tcPr>
          <w:p w:rsidR="001F119D" w:rsidRPr="001372D2" w:rsidRDefault="001F119D" w:rsidP="00DE28B8">
            <w:pPr>
              <w:rPr>
                <w:b/>
              </w:rPr>
            </w:pPr>
          </w:p>
        </w:tc>
        <w:tc>
          <w:tcPr>
            <w:tcW w:w="4590" w:type="dxa"/>
            <w:shd w:val="clear" w:color="auto" w:fill="F2F2F2" w:themeFill="background1" w:themeFillShade="F2"/>
          </w:tcPr>
          <w:p w:rsidR="001F119D" w:rsidRPr="001372D2" w:rsidRDefault="001F119D" w:rsidP="00DE28B8">
            <w:pPr>
              <w:rPr>
                <w:b/>
              </w:rPr>
            </w:pPr>
            <w:r>
              <w:rPr>
                <w:b/>
              </w:rPr>
              <w:t>Aktivnosti</w:t>
            </w:r>
          </w:p>
        </w:tc>
        <w:tc>
          <w:tcPr>
            <w:tcW w:w="2435" w:type="dxa"/>
            <w:shd w:val="clear" w:color="auto" w:fill="F2F2F2" w:themeFill="background1" w:themeFillShade="F2"/>
          </w:tcPr>
          <w:p w:rsidR="001F119D" w:rsidRPr="001372D2" w:rsidRDefault="001F119D" w:rsidP="00DE28B8">
            <w:pPr>
              <w:rPr>
                <w:b/>
              </w:rPr>
            </w:pPr>
            <w:r>
              <w:rPr>
                <w:b/>
              </w:rPr>
              <w:t>Ciljna grupa</w:t>
            </w:r>
          </w:p>
        </w:tc>
        <w:tc>
          <w:tcPr>
            <w:tcW w:w="1220" w:type="dxa"/>
            <w:shd w:val="clear" w:color="auto" w:fill="F2F2F2" w:themeFill="background1" w:themeFillShade="F2"/>
          </w:tcPr>
          <w:p w:rsidR="001F119D" w:rsidRPr="001372D2" w:rsidRDefault="001F119D" w:rsidP="00DE28B8">
            <w:pPr>
              <w:rPr>
                <w:b/>
              </w:rPr>
            </w:pPr>
            <w:r w:rsidRPr="001372D2">
              <w:rPr>
                <w:b/>
              </w:rPr>
              <w:t>Vremenski okvir</w:t>
            </w:r>
          </w:p>
        </w:tc>
      </w:tr>
      <w:tr w:rsidR="005E2A88" w:rsidRPr="001372D2" w:rsidTr="00D16837">
        <w:trPr>
          <w:trHeight w:val="250"/>
        </w:trPr>
        <w:tc>
          <w:tcPr>
            <w:tcW w:w="738" w:type="dxa"/>
            <w:tcBorders>
              <w:top w:val="single" w:sz="4" w:space="0" w:color="auto"/>
              <w:left w:val="single" w:sz="4" w:space="0" w:color="auto"/>
              <w:bottom w:val="single" w:sz="4" w:space="0" w:color="auto"/>
              <w:right w:val="single" w:sz="4" w:space="0" w:color="auto"/>
            </w:tcBorders>
          </w:tcPr>
          <w:p w:rsidR="005E2A88" w:rsidRPr="00EC44C7" w:rsidRDefault="005E2A88" w:rsidP="00DE28B8">
            <w:r w:rsidRPr="00EC44C7">
              <w:t xml:space="preserve">3.1 </w:t>
            </w:r>
          </w:p>
        </w:tc>
        <w:tc>
          <w:tcPr>
            <w:tcW w:w="4590" w:type="dxa"/>
            <w:tcBorders>
              <w:top w:val="single" w:sz="4" w:space="0" w:color="auto"/>
              <w:left w:val="single" w:sz="4" w:space="0" w:color="auto"/>
              <w:bottom w:val="single" w:sz="4" w:space="0" w:color="auto"/>
              <w:right w:val="single" w:sz="4" w:space="0" w:color="auto"/>
            </w:tcBorders>
          </w:tcPr>
          <w:p w:rsidR="005E2A88" w:rsidRPr="00EC44C7" w:rsidRDefault="005E2A88" w:rsidP="00461A7E">
            <w:pPr>
              <w:rPr>
                <w:lang w:val="bs-Latn-BA"/>
              </w:rPr>
            </w:pPr>
            <w:r w:rsidRPr="00EC44C7">
              <w:rPr>
                <w:lang w:val="bs-Latn-BA"/>
              </w:rPr>
              <w:t xml:space="preserve">Promocija </w:t>
            </w:r>
            <w:r w:rsidR="009830EB" w:rsidRPr="00EC44C7">
              <w:rPr>
                <w:lang w:val="bs-Latn-BA"/>
              </w:rPr>
              <w:t>mogućnosti korišćenja resursa Centra kompetencija za  nezaposlena lica, lica u nepovoljnom položaju na tržištu rada</w:t>
            </w:r>
          </w:p>
        </w:tc>
        <w:tc>
          <w:tcPr>
            <w:tcW w:w="2435" w:type="dxa"/>
            <w:tcBorders>
              <w:top w:val="single" w:sz="4" w:space="0" w:color="auto"/>
              <w:left w:val="single" w:sz="4" w:space="0" w:color="auto"/>
              <w:bottom w:val="single" w:sz="4" w:space="0" w:color="auto"/>
              <w:right w:val="single" w:sz="4" w:space="0" w:color="auto"/>
            </w:tcBorders>
          </w:tcPr>
          <w:p w:rsidR="009830EB" w:rsidRPr="00EC44C7" w:rsidRDefault="009830EB" w:rsidP="007124B0">
            <w:pPr>
              <w:rPr>
                <w:lang w:val="bs-Latn-BA"/>
              </w:rPr>
            </w:pPr>
            <w:r w:rsidRPr="00EC44C7">
              <w:rPr>
                <w:lang w:val="bs-Latn-BA"/>
              </w:rPr>
              <w:t>NVO</w:t>
            </w:r>
          </w:p>
        </w:tc>
        <w:tc>
          <w:tcPr>
            <w:tcW w:w="1220" w:type="dxa"/>
            <w:tcBorders>
              <w:top w:val="single" w:sz="4" w:space="0" w:color="auto"/>
              <w:left w:val="single" w:sz="4" w:space="0" w:color="auto"/>
              <w:bottom w:val="single" w:sz="4" w:space="0" w:color="auto"/>
              <w:right w:val="single" w:sz="4" w:space="0" w:color="auto"/>
            </w:tcBorders>
          </w:tcPr>
          <w:p w:rsidR="005E2A88" w:rsidRPr="00EC44C7" w:rsidRDefault="005E2A88" w:rsidP="007124B0">
            <w:pPr>
              <w:rPr>
                <w:lang w:val="bs-Latn-BA"/>
              </w:rPr>
            </w:pPr>
            <w:r w:rsidRPr="00EC44C7">
              <w:rPr>
                <w:lang w:val="bs-Latn-BA"/>
              </w:rPr>
              <w:t>2021-2025.</w:t>
            </w:r>
          </w:p>
        </w:tc>
      </w:tr>
      <w:tr w:rsidR="00337AA8" w:rsidRPr="001372D2" w:rsidTr="00D16837">
        <w:trPr>
          <w:trHeight w:val="250"/>
        </w:trPr>
        <w:tc>
          <w:tcPr>
            <w:tcW w:w="738" w:type="dxa"/>
            <w:tcBorders>
              <w:top w:val="single" w:sz="4" w:space="0" w:color="auto"/>
              <w:left w:val="single" w:sz="4" w:space="0" w:color="auto"/>
              <w:bottom w:val="single" w:sz="4" w:space="0" w:color="auto"/>
              <w:right w:val="single" w:sz="4" w:space="0" w:color="auto"/>
            </w:tcBorders>
          </w:tcPr>
          <w:p w:rsidR="00337AA8" w:rsidRPr="00EC44C7" w:rsidRDefault="00337AA8" w:rsidP="00337AA8">
            <w:r w:rsidRPr="00EC44C7">
              <w:t xml:space="preserve">3.2 </w:t>
            </w:r>
          </w:p>
        </w:tc>
        <w:tc>
          <w:tcPr>
            <w:tcW w:w="4590" w:type="dxa"/>
            <w:tcBorders>
              <w:top w:val="single" w:sz="4" w:space="0" w:color="auto"/>
              <w:left w:val="single" w:sz="4" w:space="0" w:color="auto"/>
              <w:bottom w:val="single" w:sz="4" w:space="0" w:color="auto"/>
              <w:right w:val="single" w:sz="4" w:space="0" w:color="auto"/>
            </w:tcBorders>
          </w:tcPr>
          <w:p w:rsidR="00337AA8" w:rsidRPr="00EC44C7" w:rsidRDefault="00337AA8" w:rsidP="00337AA8">
            <w:pPr>
              <w:rPr>
                <w:lang w:val="bs-Latn-BA"/>
              </w:rPr>
            </w:pPr>
            <w:r w:rsidRPr="00EC44C7">
              <w:rPr>
                <w:lang w:val="bs-Latn-BA"/>
              </w:rPr>
              <w:t xml:space="preserve">Profesionalna rehabilitacija i zapošljavanje </w:t>
            </w:r>
          </w:p>
        </w:tc>
        <w:tc>
          <w:tcPr>
            <w:tcW w:w="2435" w:type="dxa"/>
            <w:tcBorders>
              <w:top w:val="single" w:sz="4" w:space="0" w:color="auto"/>
              <w:left w:val="single" w:sz="4" w:space="0" w:color="auto"/>
              <w:bottom w:val="single" w:sz="4" w:space="0" w:color="auto"/>
              <w:right w:val="single" w:sz="4" w:space="0" w:color="auto"/>
            </w:tcBorders>
          </w:tcPr>
          <w:p w:rsidR="00337AA8" w:rsidRPr="00EC44C7" w:rsidRDefault="00337AA8" w:rsidP="00337AA8">
            <w:pPr>
              <w:rPr>
                <w:strike/>
                <w:lang w:val="bs-Latn-BA"/>
              </w:rPr>
            </w:pPr>
            <w:r w:rsidRPr="00EC44C7">
              <w:rPr>
                <w:lang w:val="bs-Latn-BA"/>
              </w:rPr>
              <w:t xml:space="preserve">Lica sa invaliditetom </w:t>
            </w:r>
          </w:p>
        </w:tc>
        <w:tc>
          <w:tcPr>
            <w:tcW w:w="1220" w:type="dxa"/>
            <w:tcBorders>
              <w:top w:val="single" w:sz="4" w:space="0" w:color="auto"/>
              <w:left w:val="single" w:sz="4" w:space="0" w:color="auto"/>
              <w:bottom w:val="single" w:sz="4" w:space="0" w:color="auto"/>
              <w:right w:val="single" w:sz="4" w:space="0" w:color="auto"/>
            </w:tcBorders>
          </w:tcPr>
          <w:p w:rsidR="00337AA8" w:rsidRPr="00EC44C7" w:rsidRDefault="00337AA8" w:rsidP="00337AA8">
            <w:pPr>
              <w:rPr>
                <w:lang w:val="bs-Latn-BA"/>
              </w:rPr>
            </w:pPr>
            <w:r w:rsidRPr="00EC44C7">
              <w:rPr>
                <w:lang w:val="bs-Latn-BA"/>
              </w:rPr>
              <w:t>2021-2025.</w:t>
            </w:r>
          </w:p>
        </w:tc>
      </w:tr>
      <w:tr w:rsidR="00337AA8" w:rsidRPr="001372D2" w:rsidTr="00D16837">
        <w:trPr>
          <w:trHeight w:val="377"/>
        </w:trPr>
        <w:tc>
          <w:tcPr>
            <w:tcW w:w="738" w:type="dxa"/>
            <w:tcBorders>
              <w:top w:val="single" w:sz="4" w:space="0" w:color="auto"/>
              <w:left w:val="single" w:sz="4" w:space="0" w:color="auto"/>
              <w:bottom w:val="single" w:sz="4" w:space="0" w:color="auto"/>
              <w:right w:val="single" w:sz="4" w:space="0" w:color="auto"/>
            </w:tcBorders>
          </w:tcPr>
          <w:p w:rsidR="00337AA8" w:rsidRPr="00EC44C7" w:rsidRDefault="00337AA8" w:rsidP="00337AA8">
            <w:r w:rsidRPr="00EC44C7">
              <w:t xml:space="preserve">3.3   </w:t>
            </w:r>
          </w:p>
        </w:tc>
        <w:tc>
          <w:tcPr>
            <w:tcW w:w="4590" w:type="dxa"/>
            <w:tcBorders>
              <w:top w:val="single" w:sz="4" w:space="0" w:color="auto"/>
              <w:left w:val="single" w:sz="4" w:space="0" w:color="auto"/>
              <w:bottom w:val="single" w:sz="4" w:space="0" w:color="auto"/>
              <w:right w:val="single" w:sz="4" w:space="0" w:color="auto"/>
            </w:tcBorders>
          </w:tcPr>
          <w:p w:rsidR="00337AA8" w:rsidRPr="00EC44C7" w:rsidRDefault="00812E03" w:rsidP="00337AA8">
            <w:pPr>
              <w:rPr>
                <w:lang w:val="bs-Latn-BA"/>
              </w:rPr>
            </w:pPr>
            <w:r w:rsidRPr="00EC44C7">
              <w:rPr>
                <w:lang w:val="bs-Latn-BA"/>
              </w:rPr>
              <w:t>Subvencij</w:t>
            </w:r>
            <w:r w:rsidR="00041E3B" w:rsidRPr="00EC44C7">
              <w:rPr>
                <w:lang w:val="bs-Latn-BA"/>
              </w:rPr>
              <w:t>e</w:t>
            </w:r>
            <w:r w:rsidRPr="00EC44C7">
              <w:rPr>
                <w:lang w:val="bs-Latn-BA"/>
              </w:rPr>
              <w:t xml:space="preserve"> </w:t>
            </w:r>
            <w:r w:rsidR="00A43EEB" w:rsidRPr="00EC44C7">
              <w:rPr>
                <w:lang w:val="bs-Latn-BA"/>
              </w:rPr>
              <w:t xml:space="preserve">zarada za lica </w:t>
            </w:r>
            <w:r w:rsidRPr="00EC44C7">
              <w:rPr>
                <w:lang w:val="bs-Latn-BA"/>
              </w:rPr>
              <w:t>sa invaliditetom</w:t>
            </w:r>
          </w:p>
        </w:tc>
        <w:tc>
          <w:tcPr>
            <w:tcW w:w="2435" w:type="dxa"/>
            <w:tcBorders>
              <w:top w:val="single" w:sz="4" w:space="0" w:color="auto"/>
              <w:left w:val="single" w:sz="4" w:space="0" w:color="auto"/>
              <w:bottom w:val="single" w:sz="4" w:space="0" w:color="auto"/>
              <w:right w:val="single" w:sz="4" w:space="0" w:color="auto"/>
            </w:tcBorders>
          </w:tcPr>
          <w:p w:rsidR="00337AA8" w:rsidRPr="00EC44C7" w:rsidRDefault="00041E3B" w:rsidP="00337AA8">
            <w:pPr>
              <w:rPr>
                <w:strike/>
                <w:lang w:val="bs-Latn-BA"/>
              </w:rPr>
            </w:pPr>
            <w:r w:rsidRPr="00EC44C7">
              <w:rPr>
                <w:lang w:val="bs-Latn-BA"/>
              </w:rPr>
              <w:t>L</w:t>
            </w:r>
            <w:r w:rsidR="00812E03" w:rsidRPr="00EC44C7">
              <w:rPr>
                <w:lang w:val="bs-Latn-BA"/>
              </w:rPr>
              <w:t>ica sa invaliditetom</w:t>
            </w:r>
          </w:p>
        </w:tc>
        <w:tc>
          <w:tcPr>
            <w:tcW w:w="1220" w:type="dxa"/>
            <w:tcBorders>
              <w:top w:val="single" w:sz="4" w:space="0" w:color="auto"/>
              <w:left w:val="single" w:sz="4" w:space="0" w:color="auto"/>
              <w:bottom w:val="single" w:sz="4" w:space="0" w:color="auto"/>
              <w:right w:val="single" w:sz="4" w:space="0" w:color="auto"/>
            </w:tcBorders>
          </w:tcPr>
          <w:p w:rsidR="00337AA8" w:rsidRPr="00EC44C7" w:rsidRDefault="00337AA8" w:rsidP="00337AA8">
            <w:pPr>
              <w:rPr>
                <w:lang w:val="bs-Latn-BA"/>
              </w:rPr>
            </w:pPr>
            <w:r w:rsidRPr="00EC44C7">
              <w:rPr>
                <w:lang w:val="bs-Latn-BA"/>
              </w:rPr>
              <w:t>2021-2025.</w:t>
            </w:r>
          </w:p>
        </w:tc>
      </w:tr>
      <w:tr w:rsidR="00812E03" w:rsidRPr="001372D2" w:rsidTr="00D16837">
        <w:trPr>
          <w:trHeight w:val="377"/>
        </w:trPr>
        <w:tc>
          <w:tcPr>
            <w:tcW w:w="738" w:type="dxa"/>
            <w:tcBorders>
              <w:top w:val="single" w:sz="4" w:space="0" w:color="auto"/>
              <w:left w:val="single" w:sz="4" w:space="0" w:color="auto"/>
              <w:bottom w:val="single" w:sz="4" w:space="0" w:color="auto"/>
              <w:right w:val="single" w:sz="4" w:space="0" w:color="auto"/>
            </w:tcBorders>
          </w:tcPr>
          <w:p w:rsidR="00812E03" w:rsidRPr="00EC44C7" w:rsidRDefault="00041E3B" w:rsidP="00812E03">
            <w:r w:rsidRPr="00EC44C7">
              <w:t>3.4</w:t>
            </w:r>
          </w:p>
        </w:tc>
        <w:tc>
          <w:tcPr>
            <w:tcW w:w="4590" w:type="dxa"/>
            <w:tcBorders>
              <w:top w:val="single" w:sz="4" w:space="0" w:color="auto"/>
              <w:left w:val="single" w:sz="4" w:space="0" w:color="auto"/>
              <w:bottom w:val="single" w:sz="4" w:space="0" w:color="auto"/>
              <w:right w:val="single" w:sz="4" w:space="0" w:color="auto"/>
            </w:tcBorders>
          </w:tcPr>
          <w:p w:rsidR="00812E03" w:rsidRPr="00EC44C7" w:rsidRDefault="00812E03" w:rsidP="00812E03">
            <w:pPr>
              <w:rPr>
                <w:lang w:val="bs-Latn-BA"/>
              </w:rPr>
            </w:pPr>
            <w:r w:rsidRPr="00EC44C7">
              <w:rPr>
                <w:lang w:val="bs-Latn-BA"/>
              </w:rPr>
              <w:t xml:space="preserve">Podsticaji za zapošljavanje/Subvencije zarada </w:t>
            </w:r>
          </w:p>
        </w:tc>
        <w:tc>
          <w:tcPr>
            <w:tcW w:w="2435" w:type="dxa"/>
            <w:tcBorders>
              <w:top w:val="single" w:sz="4" w:space="0" w:color="auto"/>
              <w:left w:val="single" w:sz="4" w:space="0" w:color="auto"/>
              <w:bottom w:val="single" w:sz="4" w:space="0" w:color="auto"/>
              <w:right w:val="single" w:sz="4" w:space="0" w:color="auto"/>
            </w:tcBorders>
          </w:tcPr>
          <w:p w:rsidR="00812E03" w:rsidRPr="00EC44C7" w:rsidRDefault="00041E3B" w:rsidP="00812E03">
            <w:pPr>
              <w:rPr>
                <w:lang w:val="bs-Latn-BA"/>
              </w:rPr>
            </w:pPr>
            <w:r w:rsidRPr="00EC44C7">
              <w:rPr>
                <w:lang w:val="bs-Latn-BA"/>
              </w:rPr>
              <w:t>Nezaposlena lica</w:t>
            </w:r>
          </w:p>
        </w:tc>
        <w:tc>
          <w:tcPr>
            <w:tcW w:w="1220" w:type="dxa"/>
            <w:tcBorders>
              <w:top w:val="single" w:sz="4" w:space="0" w:color="auto"/>
              <w:left w:val="single" w:sz="4" w:space="0" w:color="auto"/>
              <w:bottom w:val="single" w:sz="4" w:space="0" w:color="auto"/>
              <w:right w:val="single" w:sz="4" w:space="0" w:color="auto"/>
            </w:tcBorders>
          </w:tcPr>
          <w:p w:rsidR="00812E03" w:rsidRPr="00EC44C7" w:rsidRDefault="00041E3B" w:rsidP="00812E03">
            <w:pPr>
              <w:rPr>
                <w:lang w:val="bs-Latn-BA"/>
              </w:rPr>
            </w:pPr>
            <w:r w:rsidRPr="00EC44C7">
              <w:rPr>
                <w:lang w:val="bs-Latn-BA"/>
              </w:rPr>
              <w:t>2021-2022.</w:t>
            </w:r>
          </w:p>
        </w:tc>
      </w:tr>
      <w:tr w:rsidR="00812E03" w:rsidRPr="001372D2" w:rsidTr="00D16837">
        <w:trPr>
          <w:trHeight w:val="250"/>
        </w:trPr>
        <w:tc>
          <w:tcPr>
            <w:tcW w:w="738" w:type="dxa"/>
            <w:tcBorders>
              <w:top w:val="single" w:sz="4" w:space="0" w:color="auto"/>
              <w:left w:val="single" w:sz="4" w:space="0" w:color="auto"/>
              <w:bottom w:val="single" w:sz="4" w:space="0" w:color="auto"/>
              <w:right w:val="single" w:sz="4" w:space="0" w:color="auto"/>
            </w:tcBorders>
          </w:tcPr>
          <w:p w:rsidR="00812E03" w:rsidRPr="00EC44C7" w:rsidRDefault="00812E03" w:rsidP="00812E03">
            <w:r w:rsidRPr="00EC44C7">
              <w:t>3.</w:t>
            </w:r>
            <w:r w:rsidR="00041E3B" w:rsidRPr="00EC44C7">
              <w:t>5</w:t>
            </w:r>
          </w:p>
        </w:tc>
        <w:tc>
          <w:tcPr>
            <w:tcW w:w="4590" w:type="dxa"/>
            <w:tcBorders>
              <w:top w:val="single" w:sz="4" w:space="0" w:color="auto"/>
              <w:left w:val="single" w:sz="4" w:space="0" w:color="auto"/>
              <w:bottom w:val="single" w:sz="4" w:space="0" w:color="auto"/>
              <w:right w:val="single" w:sz="4" w:space="0" w:color="auto"/>
            </w:tcBorders>
          </w:tcPr>
          <w:p w:rsidR="00812E03" w:rsidRPr="00EC44C7" w:rsidRDefault="00812E03" w:rsidP="00812E03">
            <w:pPr>
              <w:rPr>
                <w:lang w:val="bs-Latn-BA"/>
              </w:rPr>
            </w:pPr>
            <w:r w:rsidRPr="00EC44C7">
              <w:rPr>
                <w:lang w:val="bs-Latn-BA"/>
              </w:rPr>
              <w:t xml:space="preserve">Javni radovi </w:t>
            </w:r>
          </w:p>
        </w:tc>
        <w:tc>
          <w:tcPr>
            <w:tcW w:w="2435" w:type="dxa"/>
            <w:tcBorders>
              <w:top w:val="single" w:sz="4" w:space="0" w:color="auto"/>
              <w:left w:val="single" w:sz="4" w:space="0" w:color="auto"/>
              <w:bottom w:val="single" w:sz="4" w:space="0" w:color="auto"/>
              <w:right w:val="single" w:sz="4" w:space="0" w:color="auto"/>
            </w:tcBorders>
          </w:tcPr>
          <w:p w:rsidR="00812E03" w:rsidRPr="00EC44C7" w:rsidRDefault="009D6516" w:rsidP="00812E03">
            <w:pPr>
              <w:rPr>
                <w:strike/>
                <w:lang w:val="bs-Latn-BA"/>
              </w:rPr>
            </w:pPr>
            <w:r w:rsidRPr="009D6516">
              <w:rPr>
                <w:lang w:val="bs-Latn-BA"/>
              </w:rPr>
              <w:t xml:space="preserve">Nezaposlena lica bez školske spreme ili sa završenom osnovnom školom, nezaposlena lica koja pripadaju RE </w:t>
            </w:r>
            <w:r w:rsidRPr="009D6516">
              <w:rPr>
                <w:lang w:val="bs-Latn-BA"/>
              </w:rPr>
              <w:lastRenderedPageBreak/>
              <w:t>populaciji i nezaposlena lica koja u poslednjih 12 mjeseci nisu bila u radnom odnosu, zbog čega su u riziku od socijalne isključenosti</w:t>
            </w:r>
          </w:p>
        </w:tc>
        <w:tc>
          <w:tcPr>
            <w:tcW w:w="1220" w:type="dxa"/>
            <w:tcBorders>
              <w:top w:val="single" w:sz="4" w:space="0" w:color="auto"/>
              <w:left w:val="single" w:sz="4" w:space="0" w:color="auto"/>
              <w:bottom w:val="single" w:sz="4" w:space="0" w:color="auto"/>
              <w:right w:val="single" w:sz="4" w:space="0" w:color="auto"/>
            </w:tcBorders>
          </w:tcPr>
          <w:p w:rsidR="00812E03" w:rsidRPr="00EC44C7" w:rsidRDefault="00812E03" w:rsidP="00812E03">
            <w:pPr>
              <w:rPr>
                <w:lang w:val="bs-Latn-BA"/>
              </w:rPr>
            </w:pPr>
            <w:r w:rsidRPr="00EC44C7">
              <w:rPr>
                <w:lang w:val="bs-Latn-BA"/>
              </w:rPr>
              <w:lastRenderedPageBreak/>
              <w:t>2021-2025.</w:t>
            </w:r>
          </w:p>
        </w:tc>
      </w:tr>
      <w:tr w:rsidR="00812E03" w:rsidRPr="001372D2" w:rsidTr="00D16837">
        <w:tc>
          <w:tcPr>
            <w:tcW w:w="738" w:type="dxa"/>
            <w:tcBorders>
              <w:top w:val="single" w:sz="4" w:space="0" w:color="auto"/>
              <w:left w:val="single" w:sz="4" w:space="0" w:color="auto"/>
              <w:bottom w:val="single" w:sz="4" w:space="0" w:color="auto"/>
              <w:right w:val="single" w:sz="4" w:space="0" w:color="auto"/>
            </w:tcBorders>
          </w:tcPr>
          <w:p w:rsidR="00812E03" w:rsidRPr="00EC44C7" w:rsidRDefault="00812E03" w:rsidP="00812E03">
            <w:r w:rsidRPr="00EC44C7">
              <w:lastRenderedPageBreak/>
              <w:t>3.</w:t>
            </w:r>
            <w:r w:rsidR="00041E3B" w:rsidRPr="00EC44C7">
              <w:t>6</w:t>
            </w:r>
          </w:p>
        </w:tc>
        <w:tc>
          <w:tcPr>
            <w:tcW w:w="4590" w:type="dxa"/>
            <w:tcBorders>
              <w:top w:val="single" w:sz="4" w:space="0" w:color="auto"/>
              <w:left w:val="single" w:sz="4" w:space="0" w:color="auto"/>
              <w:bottom w:val="single" w:sz="4" w:space="0" w:color="auto"/>
              <w:right w:val="single" w:sz="4" w:space="0" w:color="auto"/>
            </w:tcBorders>
          </w:tcPr>
          <w:p w:rsidR="00812E03" w:rsidRPr="00EC44C7" w:rsidRDefault="00812E03" w:rsidP="00812E03">
            <w:pPr>
              <w:rPr>
                <w:lang w:val="bs-Latn-BA"/>
              </w:rPr>
            </w:pPr>
            <w:r w:rsidRPr="00EC44C7">
              <w:rPr>
                <w:lang w:val="bs-Latn-BA"/>
              </w:rPr>
              <w:t>Klub za traženje posla</w:t>
            </w:r>
          </w:p>
        </w:tc>
        <w:tc>
          <w:tcPr>
            <w:tcW w:w="2435" w:type="dxa"/>
            <w:tcBorders>
              <w:top w:val="single" w:sz="4" w:space="0" w:color="auto"/>
              <w:left w:val="single" w:sz="4" w:space="0" w:color="auto"/>
              <w:bottom w:val="single" w:sz="4" w:space="0" w:color="auto"/>
              <w:right w:val="single" w:sz="4" w:space="0" w:color="auto"/>
            </w:tcBorders>
          </w:tcPr>
          <w:p w:rsidR="00812E03" w:rsidRPr="00EC44C7" w:rsidRDefault="00812E03" w:rsidP="00812E03">
            <w:pPr>
              <w:rPr>
                <w:lang w:val="bs-Latn-BA"/>
              </w:rPr>
            </w:pPr>
            <w:r w:rsidRPr="00EC44C7">
              <w:rPr>
                <w:lang w:val="bs-Latn-BA"/>
              </w:rPr>
              <w:t xml:space="preserve">Dugoročno nezaposlena lica </w:t>
            </w:r>
          </w:p>
        </w:tc>
        <w:tc>
          <w:tcPr>
            <w:tcW w:w="1220" w:type="dxa"/>
            <w:tcBorders>
              <w:top w:val="single" w:sz="4" w:space="0" w:color="auto"/>
              <w:left w:val="single" w:sz="4" w:space="0" w:color="auto"/>
              <w:bottom w:val="single" w:sz="4" w:space="0" w:color="auto"/>
              <w:right w:val="single" w:sz="4" w:space="0" w:color="auto"/>
            </w:tcBorders>
          </w:tcPr>
          <w:p w:rsidR="00812E03" w:rsidRPr="00EC44C7" w:rsidRDefault="00812E03" w:rsidP="00812E03">
            <w:pPr>
              <w:rPr>
                <w:lang w:val="bs-Latn-BA"/>
              </w:rPr>
            </w:pPr>
            <w:r w:rsidRPr="00EC44C7">
              <w:rPr>
                <w:lang w:val="bs-Latn-BA"/>
              </w:rPr>
              <w:t>2022-2025.</w:t>
            </w:r>
          </w:p>
        </w:tc>
      </w:tr>
      <w:tr w:rsidR="00812E03" w:rsidRPr="001372D2" w:rsidTr="00D16837">
        <w:tc>
          <w:tcPr>
            <w:tcW w:w="738" w:type="dxa"/>
            <w:tcBorders>
              <w:top w:val="single" w:sz="4" w:space="0" w:color="auto"/>
              <w:left w:val="single" w:sz="4" w:space="0" w:color="auto"/>
              <w:bottom w:val="single" w:sz="4" w:space="0" w:color="auto"/>
              <w:right w:val="single" w:sz="4" w:space="0" w:color="auto"/>
            </w:tcBorders>
          </w:tcPr>
          <w:p w:rsidR="00812E03" w:rsidRPr="005E2A88" w:rsidRDefault="00812E03" w:rsidP="00812E03">
            <w:pPr>
              <w:rPr>
                <w:lang w:val="bs-Latn-BA"/>
              </w:rPr>
            </w:pPr>
            <w:r w:rsidRPr="005E2A88">
              <w:rPr>
                <w:lang w:val="bs-Latn-BA"/>
              </w:rPr>
              <w:t>3.</w:t>
            </w:r>
            <w:r w:rsidR="00041E3B">
              <w:rPr>
                <w:lang w:val="bs-Latn-BA"/>
              </w:rPr>
              <w:t>7</w:t>
            </w:r>
            <w:r w:rsidRPr="005E2A88">
              <w:rPr>
                <w:lang w:val="bs-Latn-BA"/>
              </w:rPr>
              <w:t xml:space="preserve"> </w:t>
            </w:r>
          </w:p>
        </w:tc>
        <w:tc>
          <w:tcPr>
            <w:tcW w:w="4590" w:type="dxa"/>
            <w:tcBorders>
              <w:top w:val="single" w:sz="4" w:space="0" w:color="auto"/>
              <w:left w:val="single" w:sz="4" w:space="0" w:color="auto"/>
              <w:bottom w:val="single" w:sz="4" w:space="0" w:color="auto"/>
              <w:right w:val="single" w:sz="4" w:space="0" w:color="auto"/>
            </w:tcBorders>
          </w:tcPr>
          <w:p w:rsidR="00812E03" w:rsidRPr="005E2A88" w:rsidRDefault="00812E03" w:rsidP="00812E03">
            <w:pPr>
              <w:rPr>
                <w:lang w:val="bs-Latn-BA"/>
              </w:rPr>
            </w:pPr>
            <w:r w:rsidRPr="005E2A88">
              <w:rPr>
                <w:lang w:val="bs-Latn-BA"/>
              </w:rPr>
              <w:t>Podrška socijalnom preduzetništvu</w:t>
            </w:r>
          </w:p>
        </w:tc>
        <w:tc>
          <w:tcPr>
            <w:tcW w:w="2435" w:type="dxa"/>
            <w:tcBorders>
              <w:top w:val="single" w:sz="4" w:space="0" w:color="auto"/>
              <w:left w:val="single" w:sz="4" w:space="0" w:color="auto"/>
              <w:bottom w:val="single" w:sz="4" w:space="0" w:color="auto"/>
              <w:right w:val="single" w:sz="4" w:space="0" w:color="auto"/>
            </w:tcBorders>
          </w:tcPr>
          <w:p w:rsidR="00812E03" w:rsidRPr="005E2A88" w:rsidRDefault="00812E03" w:rsidP="00812E03">
            <w:pPr>
              <w:rPr>
                <w:lang w:val="bs-Latn-BA"/>
              </w:rPr>
            </w:pPr>
            <w:r>
              <w:rPr>
                <w:lang w:val="bs-Latn-BA"/>
              </w:rPr>
              <w:t>Socijalna preduzeća</w:t>
            </w:r>
          </w:p>
        </w:tc>
        <w:tc>
          <w:tcPr>
            <w:tcW w:w="1220" w:type="dxa"/>
            <w:tcBorders>
              <w:top w:val="single" w:sz="4" w:space="0" w:color="auto"/>
              <w:left w:val="single" w:sz="4" w:space="0" w:color="auto"/>
              <w:bottom w:val="single" w:sz="4" w:space="0" w:color="auto"/>
              <w:right w:val="single" w:sz="4" w:space="0" w:color="auto"/>
            </w:tcBorders>
          </w:tcPr>
          <w:p w:rsidR="00812E03" w:rsidRPr="005E2A88" w:rsidRDefault="00812E03" w:rsidP="00812E03">
            <w:pPr>
              <w:rPr>
                <w:lang w:val="bs-Latn-BA"/>
              </w:rPr>
            </w:pPr>
            <w:r w:rsidRPr="005E2A88">
              <w:rPr>
                <w:lang w:val="bs-Latn-BA"/>
              </w:rPr>
              <w:t>202</w:t>
            </w:r>
            <w:r>
              <w:rPr>
                <w:lang w:val="bs-Latn-BA"/>
              </w:rPr>
              <w:t>2</w:t>
            </w:r>
            <w:r w:rsidRPr="005E2A88">
              <w:rPr>
                <w:lang w:val="bs-Latn-BA"/>
              </w:rPr>
              <w:t>-2025.</w:t>
            </w:r>
          </w:p>
        </w:tc>
      </w:tr>
      <w:tr w:rsidR="00812E03" w:rsidRPr="001372D2" w:rsidTr="00D16837">
        <w:tc>
          <w:tcPr>
            <w:tcW w:w="738" w:type="dxa"/>
            <w:tcBorders>
              <w:top w:val="single" w:sz="4" w:space="0" w:color="auto"/>
              <w:left w:val="single" w:sz="4" w:space="0" w:color="auto"/>
              <w:bottom w:val="single" w:sz="4" w:space="0" w:color="auto"/>
              <w:right w:val="single" w:sz="4" w:space="0" w:color="auto"/>
            </w:tcBorders>
          </w:tcPr>
          <w:p w:rsidR="00812E03" w:rsidRPr="005E2A88" w:rsidRDefault="00812E03" w:rsidP="00812E03">
            <w:pPr>
              <w:rPr>
                <w:lang w:val="bs-Latn-BA"/>
              </w:rPr>
            </w:pPr>
            <w:r>
              <w:rPr>
                <w:lang w:val="bs-Latn-BA"/>
              </w:rPr>
              <w:t>3.</w:t>
            </w:r>
            <w:r w:rsidR="00041E3B">
              <w:rPr>
                <w:lang w:val="bs-Latn-BA"/>
              </w:rPr>
              <w:t>8</w:t>
            </w:r>
            <w:r w:rsidRPr="005E2A88">
              <w:rPr>
                <w:lang w:val="bs-Latn-BA"/>
              </w:rPr>
              <w:tab/>
            </w:r>
            <w:r w:rsidRPr="005E2A88">
              <w:rPr>
                <w:lang w:val="bs-Latn-BA"/>
              </w:rPr>
              <w:tab/>
            </w:r>
          </w:p>
        </w:tc>
        <w:tc>
          <w:tcPr>
            <w:tcW w:w="4590" w:type="dxa"/>
            <w:tcBorders>
              <w:top w:val="single" w:sz="4" w:space="0" w:color="auto"/>
              <w:left w:val="single" w:sz="4" w:space="0" w:color="auto"/>
              <w:bottom w:val="single" w:sz="4" w:space="0" w:color="auto"/>
              <w:right w:val="single" w:sz="4" w:space="0" w:color="auto"/>
            </w:tcBorders>
          </w:tcPr>
          <w:p w:rsidR="00812E03" w:rsidRDefault="00812E03" w:rsidP="00812E03">
            <w:r w:rsidRPr="008840D5">
              <w:rPr>
                <w:lang w:val="bs-Latn-BA"/>
              </w:rPr>
              <w:t>Izrada lokalne inicijative zapošljavanja i apliciranje</w:t>
            </w:r>
          </w:p>
        </w:tc>
        <w:tc>
          <w:tcPr>
            <w:tcW w:w="2435" w:type="dxa"/>
            <w:tcBorders>
              <w:top w:val="single" w:sz="4" w:space="0" w:color="auto"/>
              <w:left w:val="single" w:sz="4" w:space="0" w:color="auto"/>
              <w:bottom w:val="single" w:sz="4" w:space="0" w:color="auto"/>
              <w:right w:val="single" w:sz="4" w:space="0" w:color="auto"/>
            </w:tcBorders>
          </w:tcPr>
          <w:p w:rsidR="00812E03" w:rsidRPr="005E2A88" w:rsidRDefault="00812E03" w:rsidP="00812E03">
            <w:pPr>
              <w:rPr>
                <w:lang w:val="bs-Latn-BA"/>
              </w:rPr>
            </w:pPr>
            <w:r w:rsidRPr="005E2A88">
              <w:rPr>
                <w:lang w:val="bs-Latn-BA"/>
              </w:rPr>
              <w:t>Teže zapošljive osobe</w:t>
            </w:r>
          </w:p>
        </w:tc>
        <w:tc>
          <w:tcPr>
            <w:tcW w:w="1220" w:type="dxa"/>
            <w:tcBorders>
              <w:top w:val="single" w:sz="4" w:space="0" w:color="auto"/>
              <w:left w:val="single" w:sz="4" w:space="0" w:color="auto"/>
              <w:bottom w:val="single" w:sz="4" w:space="0" w:color="auto"/>
              <w:right w:val="single" w:sz="4" w:space="0" w:color="auto"/>
            </w:tcBorders>
          </w:tcPr>
          <w:p w:rsidR="00812E03" w:rsidRPr="005E2A88" w:rsidRDefault="00812E03" w:rsidP="00812E03">
            <w:pPr>
              <w:rPr>
                <w:lang w:val="bs-Latn-BA"/>
              </w:rPr>
            </w:pPr>
            <w:r w:rsidRPr="005E2A88">
              <w:rPr>
                <w:lang w:val="bs-Latn-BA"/>
              </w:rPr>
              <w:t>2022-2023.</w:t>
            </w:r>
          </w:p>
        </w:tc>
      </w:tr>
      <w:tr w:rsidR="003668AE" w:rsidRPr="001372D2" w:rsidTr="00D16837">
        <w:tc>
          <w:tcPr>
            <w:tcW w:w="738" w:type="dxa"/>
            <w:tcBorders>
              <w:top w:val="single" w:sz="4" w:space="0" w:color="auto"/>
              <w:left w:val="single" w:sz="4" w:space="0" w:color="auto"/>
              <w:bottom w:val="single" w:sz="4" w:space="0" w:color="auto"/>
              <w:right w:val="single" w:sz="4" w:space="0" w:color="auto"/>
            </w:tcBorders>
          </w:tcPr>
          <w:p w:rsidR="003668AE" w:rsidRDefault="003668AE" w:rsidP="00812E03">
            <w:pPr>
              <w:rPr>
                <w:lang w:val="bs-Latn-BA"/>
              </w:rPr>
            </w:pPr>
            <w:r>
              <w:rPr>
                <w:lang w:val="bs-Latn-BA"/>
              </w:rPr>
              <w:t>3.9</w:t>
            </w:r>
          </w:p>
        </w:tc>
        <w:tc>
          <w:tcPr>
            <w:tcW w:w="4590" w:type="dxa"/>
            <w:tcBorders>
              <w:top w:val="single" w:sz="4" w:space="0" w:color="auto"/>
              <w:left w:val="single" w:sz="4" w:space="0" w:color="auto"/>
              <w:bottom w:val="single" w:sz="4" w:space="0" w:color="auto"/>
              <w:right w:val="single" w:sz="4" w:space="0" w:color="auto"/>
            </w:tcBorders>
          </w:tcPr>
          <w:p w:rsidR="003668AE" w:rsidRPr="00F67634" w:rsidRDefault="003668AE" w:rsidP="00812E03">
            <w:pPr>
              <w:rPr>
                <w:lang w:val="en-US"/>
              </w:rPr>
            </w:pPr>
            <w:r>
              <w:rPr>
                <w:lang w:val="en-US"/>
              </w:rPr>
              <w:t>O</w:t>
            </w:r>
            <w:r w:rsidRPr="003668AE">
              <w:rPr>
                <w:lang w:val="en-US"/>
              </w:rPr>
              <w:t>snaživanja žena iz redova ranjivih kategorija društva u njihovim preduzetničkim aktivnostima, sam</w:t>
            </w:r>
            <w:r w:rsidR="00F67634">
              <w:rPr>
                <w:lang w:val="en-US"/>
              </w:rPr>
              <w:t>ozapošljavanju i zapošljavanju.</w:t>
            </w:r>
          </w:p>
        </w:tc>
        <w:tc>
          <w:tcPr>
            <w:tcW w:w="2435" w:type="dxa"/>
            <w:tcBorders>
              <w:top w:val="single" w:sz="4" w:space="0" w:color="auto"/>
              <w:left w:val="single" w:sz="4" w:space="0" w:color="auto"/>
              <w:bottom w:val="single" w:sz="4" w:space="0" w:color="auto"/>
              <w:right w:val="single" w:sz="4" w:space="0" w:color="auto"/>
            </w:tcBorders>
          </w:tcPr>
          <w:p w:rsidR="003668AE" w:rsidRPr="003668AE" w:rsidRDefault="003668AE" w:rsidP="003668AE">
            <w:pPr>
              <w:rPr>
                <w:lang w:val="bs-Latn-BA"/>
              </w:rPr>
            </w:pPr>
            <w:r w:rsidRPr="003668AE">
              <w:rPr>
                <w:lang w:val="bs-Latn-BA"/>
              </w:rPr>
              <w:t xml:space="preserve">RE Zajednica </w:t>
            </w:r>
          </w:p>
          <w:p w:rsidR="003668AE" w:rsidRPr="005E2A88" w:rsidRDefault="003668AE" w:rsidP="003668AE">
            <w:pPr>
              <w:rPr>
                <w:lang w:val="bs-Latn-BA"/>
              </w:rPr>
            </w:pPr>
            <w:r>
              <w:rPr>
                <w:lang w:val="bs-Latn-BA"/>
              </w:rPr>
              <w:t>(</w:t>
            </w:r>
            <w:r w:rsidRPr="003668AE">
              <w:rPr>
                <w:lang w:val="bs-Latn-BA"/>
              </w:rPr>
              <w:t>Žene od 18 – 25 godina</w:t>
            </w:r>
            <w:r>
              <w:rPr>
                <w:lang w:val="bs-Latn-BA"/>
              </w:rPr>
              <w:t>)</w:t>
            </w:r>
          </w:p>
        </w:tc>
        <w:tc>
          <w:tcPr>
            <w:tcW w:w="1220" w:type="dxa"/>
            <w:tcBorders>
              <w:top w:val="single" w:sz="4" w:space="0" w:color="auto"/>
              <w:left w:val="single" w:sz="4" w:space="0" w:color="auto"/>
              <w:bottom w:val="single" w:sz="4" w:space="0" w:color="auto"/>
              <w:right w:val="single" w:sz="4" w:space="0" w:color="auto"/>
            </w:tcBorders>
          </w:tcPr>
          <w:p w:rsidR="003668AE" w:rsidRPr="005E2A88" w:rsidRDefault="003668AE" w:rsidP="00812E03">
            <w:pPr>
              <w:rPr>
                <w:lang w:val="bs-Latn-BA"/>
              </w:rPr>
            </w:pPr>
            <w:r>
              <w:rPr>
                <w:lang w:val="bs-Latn-BA"/>
              </w:rPr>
              <w:t>2021-2022</w:t>
            </w:r>
            <w:r w:rsidR="00F67634">
              <w:rPr>
                <w:lang w:val="bs-Latn-BA"/>
              </w:rPr>
              <w:t>.</w:t>
            </w:r>
          </w:p>
        </w:tc>
      </w:tr>
      <w:tr w:rsidR="003668AE" w:rsidRPr="001372D2" w:rsidTr="00D16837">
        <w:tc>
          <w:tcPr>
            <w:tcW w:w="738" w:type="dxa"/>
            <w:tcBorders>
              <w:top w:val="single" w:sz="4" w:space="0" w:color="auto"/>
              <w:left w:val="single" w:sz="4" w:space="0" w:color="auto"/>
              <w:bottom w:val="single" w:sz="4" w:space="0" w:color="auto"/>
              <w:right w:val="single" w:sz="4" w:space="0" w:color="auto"/>
            </w:tcBorders>
          </w:tcPr>
          <w:p w:rsidR="003668AE" w:rsidRDefault="00E30888" w:rsidP="00812E03">
            <w:pPr>
              <w:rPr>
                <w:lang w:val="bs-Latn-BA"/>
              </w:rPr>
            </w:pPr>
            <w:r>
              <w:rPr>
                <w:lang w:val="bs-Latn-BA"/>
              </w:rPr>
              <w:t>3.10</w:t>
            </w:r>
          </w:p>
        </w:tc>
        <w:tc>
          <w:tcPr>
            <w:tcW w:w="4590" w:type="dxa"/>
            <w:tcBorders>
              <w:top w:val="single" w:sz="4" w:space="0" w:color="auto"/>
              <w:left w:val="single" w:sz="4" w:space="0" w:color="auto"/>
              <w:bottom w:val="single" w:sz="4" w:space="0" w:color="auto"/>
              <w:right w:val="single" w:sz="4" w:space="0" w:color="auto"/>
            </w:tcBorders>
          </w:tcPr>
          <w:p w:rsidR="003668AE" w:rsidRPr="008840D5" w:rsidRDefault="00E30888" w:rsidP="00812E03">
            <w:pPr>
              <w:rPr>
                <w:lang w:val="bs-Latn-BA"/>
              </w:rPr>
            </w:pPr>
            <w:r>
              <w:rPr>
                <w:snapToGrid w:val="0"/>
                <w:szCs w:val="20"/>
              </w:rPr>
              <w:t>Poboljšanje sistema podrške RE zajednici u ostvarivanju prava u oblasti zdravstvenih usluga, socijalne zaštite i zapošljavanja</w:t>
            </w:r>
          </w:p>
        </w:tc>
        <w:tc>
          <w:tcPr>
            <w:tcW w:w="2435" w:type="dxa"/>
            <w:tcBorders>
              <w:top w:val="single" w:sz="4" w:space="0" w:color="auto"/>
              <w:left w:val="single" w:sz="4" w:space="0" w:color="auto"/>
              <w:bottom w:val="single" w:sz="4" w:space="0" w:color="auto"/>
              <w:right w:val="single" w:sz="4" w:space="0" w:color="auto"/>
            </w:tcBorders>
          </w:tcPr>
          <w:p w:rsidR="00E30888" w:rsidRPr="003668AE" w:rsidRDefault="00E30888" w:rsidP="00E30888">
            <w:pPr>
              <w:rPr>
                <w:lang w:val="bs-Latn-BA"/>
              </w:rPr>
            </w:pPr>
            <w:r w:rsidRPr="003668AE">
              <w:rPr>
                <w:lang w:val="bs-Latn-BA"/>
              </w:rPr>
              <w:t xml:space="preserve">RE Zajednica </w:t>
            </w:r>
          </w:p>
          <w:p w:rsidR="003668AE" w:rsidRPr="005E2A88" w:rsidRDefault="003668AE" w:rsidP="00812E03">
            <w:pPr>
              <w:rPr>
                <w:lang w:val="bs-Latn-BA"/>
              </w:rPr>
            </w:pPr>
          </w:p>
        </w:tc>
        <w:tc>
          <w:tcPr>
            <w:tcW w:w="1220" w:type="dxa"/>
            <w:tcBorders>
              <w:top w:val="single" w:sz="4" w:space="0" w:color="auto"/>
              <w:left w:val="single" w:sz="4" w:space="0" w:color="auto"/>
              <w:bottom w:val="single" w:sz="4" w:space="0" w:color="auto"/>
              <w:right w:val="single" w:sz="4" w:space="0" w:color="auto"/>
            </w:tcBorders>
          </w:tcPr>
          <w:p w:rsidR="003668AE" w:rsidRPr="005E2A88" w:rsidRDefault="00E30888" w:rsidP="00812E03">
            <w:pPr>
              <w:rPr>
                <w:lang w:val="bs-Latn-BA"/>
              </w:rPr>
            </w:pPr>
            <w:r>
              <w:rPr>
                <w:lang w:val="bs-Latn-BA"/>
              </w:rPr>
              <w:t>2021-2022</w:t>
            </w:r>
            <w:r w:rsidR="00F67634">
              <w:rPr>
                <w:lang w:val="bs-Latn-BA"/>
              </w:rPr>
              <w:t>.</w:t>
            </w:r>
          </w:p>
        </w:tc>
      </w:tr>
    </w:tbl>
    <w:p w:rsidR="001F119D" w:rsidRPr="001F119D" w:rsidRDefault="001F119D" w:rsidP="00587108">
      <w:pPr>
        <w:pStyle w:val="Heading1"/>
        <w:numPr>
          <w:ilvl w:val="0"/>
          <w:numId w:val="38"/>
        </w:numPr>
        <w:rPr>
          <w:lang w:val="hr-HR"/>
        </w:rPr>
      </w:pPr>
      <w:bookmarkStart w:id="122" w:name="_Toc52644744"/>
      <w:bookmarkStart w:id="123" w:name="_Toc52951758"/>
      <w:bookmarkStart w:id="124" w:name="_Toc54538975"/>
      <w:bookmarkStart w:id="125" w:name="_Toc54690426"/>
      <w:bookmarkStart w:id="126" w:name="_Toc44873773"/>
      <w:bookmarkStart w:id="127" w:name="_Toc56604821"/>
      <w:bookmarkStart w:id="128" w:name="_Toc57368544"/>
      <w:bookmarkStart w:id="129" w:name="_Toc57975355"/>
      <w:bookmarkStart w:id="130" w:name="_Toc58581891"/>
      <w:bookmarkStart w:id="131" w:name="_Toc61289798"/>
      <w:bookmarkStart w:id="132" w:name="_Toc63099513"/>
      <w:bookmarkEnd w:id="116"/>
      <w:r w:rsidRPr="001F119D">
        <w:rPr>
          <w:lang w:val="hr-HR"/>
        </w:rPr>
        <w:t>UPRAVLJANJE, PRAĆENJE,  IZVJEŠTAVANJE</w:t>
      </w:r>
      <w:bookmarkEnd w:id="122"/>
      <w:bookmarkEnd w:id="123"/>
      <w:bookmarkEnd w:id="124"/>
      <w:bookmarkEnd w:id="125"/>
      <w:r w:rsidRPr="001F119D">
        <w:rPr>
          <w:lang w:val="hr-HR"/>
        </w:rPr>
        <w:t xml:space="preserve"> </w:t>
      </w:r>
      <w:bookmarkEnd w:id="126"/>
      <w:r w:rsidRPr="001F119D">
        <w:rPr>
          <w:lang w:val="hr-HR"/>
        </w:rPr>
        <w:t>I PROMOCIJA</w:t>
      </w:r>
      <w:bookmarkEnd w:id="127"/>
      <w:bookmarkEnd w:id="128"/>
      <w:bookmarkEnd w:id="129"/>
      <w:bookmarkEnd w:id="130"/>
      <w:bookmarkEnd w:id="131"/>
      <w:bookmarkEnd w:id="132"/>
    </w:p>
    <w:p w:rsidR="001F119D" w:rsidRDefault="001F119D" w:rsidP="00DE28B8">
      <w:pPr>
        <w:rPr>
          <w:rFonts w:cs="Arial"/>
          <w:lang w:val="hr-HR"/>
        </w:rPr>
      </w:pPr>
    </w:p>
    <w:p w:rsidR="001F119D" w:rsidRPr="001F119D" w:rsidRDefault="001F119D" w:rsidP="00DE28B8">
      <w:pPr>
        <w:rPr>
          <w:sz w:val="22"/>
          <w:szCs w:val="22"/>
        </w:rPr>
      </w:pPr>
      <w:bookmarkStart w:id="133" w:name="_Toc55310631"/>
      <w:bookmarkStart w:id="134" w:name="_Toc55834400"/>
      <w:bookmarkStart w:id="135" w:name="_Hlk60152652"/>
      <w:r w:rsidRPr="001F119D">
        <w:rPr>
          <w:sz w:val="22"/>
          <w:szCs w:val="22"/>
        </w:rPr>
        <w:t>UPRAVLJANJE</w:t>
      </w:r>
      <w:bookmarkEnd w:id="133"/>
      <w:bookmarkEnd w:id="134"/>
    </w:p>
    <w:p w:rsidR="001F119D" w:rsidRPr="001F119D" w:rsidRDefault="001F119D" w:rsidP="00DE28B8">
      <w:pPr>
        <w:pStyle w:val="ListParagraph"/>
        <w:ind w:left="0"/>
        <w:rPr>
          <w:rFonts w:cs="Calibri"/>
          <w:sz w:val="22"/>
          <w:szCs w:val="22"/>
        </w:rPr>
      </w:pPr>
    </w:p>
    <w:p w:rsidR="001F119D" w:rsidRPr="001F119D" w:rsidRDefault="001F119D" w:rsidP="00F67634">
      <w:pPr>
        <w:pStyle w:val="ListParagraph"/>
        <w:ind w:left="0"/>
        <w:jc w:val="both"/>
        <w:rPr>
          <w:rFonts w:cs="Calibri"/>
          <w:sz w:val="22"/>
          <w:szCs w:val="22"/>
          <w:lang w:eastAsia="sl-SI"/>
        </w:rPr>
      </w:pPr>
      <w:r w:rsidRPr="001F119D">
        <w:rPr>
          <w:rFonts w:cs="Calibri"/>
          <w:sz w:val="22"/>
          <w:szCs w:val="22"/>
        </w:rPr>
        <w:t>Z</w:t>
      </w:r>
      <w:r w:rsidRPr="001F119D">
        <w:rPr>
          <w:rFonts w:cs="Calibri"/>
          <w:sz w:val="22"/>
          <w:szCs w:val="22"/>
          <w:lang w:eastAsia="sl-SI"/>
        </w:rPr>
        <w:t>a koordinaciju sprovođenja Strategije zapošljavanja biće odgovor</w:t>
      </w:r>
      <w:r w:rsidR="00D6234A">
        <w:rPr>
          <w:rFonts w:cs="Calibri"/>
          <w:sz w:val="22"/>
          <w:szCs w:val="22"/>
          <w:lang w:eastAsia="sl-SI"/>
        </w:rPr>
        <w:t>a</w:t>
      </w:r>
      <w:r w:rsidRPr="001F119D">
        <w:rPr>
          <w:rFonts w:cs="Calibri"/>
          <w:sz w:val="22"/>
          <w:szCs w:val="22"/>
          <w:lang w:eastAsia="sl-SI"/>
        </w:rPr>
        <w:t xml:space="preserve">n </w:t>
      </w:r>
      <w:r w:rsidR="00F15ADA">
        <w:rPr>
          <w:rFonts w:cs="Calibri"/>
          <w:sz w:val="22"/>
          <w:szCs w:val="22"/>
          <w:lang w:eastAsia="sl-SI"/>
        </w:rPr>
        <w:t>sekretar Sekretarijata za preduzetništvo.</w:t>
      </w:r>
    </w:p>
    <w:p w:rsidR="001F119D" w:rsidRPr="001F119D" w:rsidRDefault="001F119D" w:rsidP="00DE28B8">
      <w:pPr>
        <w:pStyle w:val="ListParagraph"/>
        <w:shd w:val="clear" w:color="auto" w:fill="FFFFFF"/>
        <w:ind w:left="0"/>
        <w:jc w:val="both"/>
        <w:rPr>
          <w:rFonts w:cs="Calibri"/>
          <w:sz w:val="22"/>
          <w:szCs w:val="22"/>
          <w:lang w:eastAsia="sl-SI"/>
        </w:rPr>
      </w:pPr>
      <w:r w:rsidRPr="001F119D">
        <w:rPr>
          <w:sz w:val="22"/>
          <w:szCs w:val="22"/>
        </w:rPr>
        <w:t xml:space="preserve">Strategija se implementira i prati kroz godišnje akcione planove zapošljavanja, koji definišu aktivnosti koje se sprovode na godišnjem nivou, a za svaku aktivnost definišu se ciljne grupe, broj uključenih, očekivani rezultati, okvirna finansijska sredstva, izvori finansiranja i odgovorne institucije za sprovođenje.  </w:t>
      </w:r>
    </w:p>
    <w:p w:rsidR="001F119D" w:rsidRPr="001F119D" w:rsidRDefault="001F119D" w:rsidP="00DE28B8">
      <w:pPr>
        <w:pStyle w:val="ListParagraph"/>
        <w:ind w:left="0"/>
        <w:rPr>
          <w:rFonts w:cs="Calibri"/>
          <w:sz w:val="22"/>
          <w:szCs w:val="22"/>
          <w:lang w:eastAsia="sl-SI"/>
        </w:rPr>
      </w:pPr>
    </w:p>
    <w:p w:rsidR="001F119D" w:rsidRPr="001F119D" w:rsidRDefault="001F119D" w:rsidP="00DE28B8">
      <w:pPr>
        <w:pStyle w:val="ListParagraph"/>
        <w:ind w:left="0"/>
        <w:jc w:val="both"/>
        <w:rPr>
          <w:rFonts w:cs="Calibri"/>
          <w:sz w:val="22"/>
          <w:szCs w:val="22"/>
          <w:lang w:eastAsia="sl-SI"/>
        </w:rPr>
      </w:pPr>
      <w:r w:rsidRPr="001F119D">
        <w:rPr>
          <w:rFonts w:cs="Calibri"/>
          <w:sz w:val="22"/>
          <w:szCs w:val="22"/>
          <w:lang w:eastAsia="sl-SI"/>
        </w:rPr>
        <w:t>Za pripremu godišnjeg akcionog plana odgovor</w:t>
      </w:r>
      <w:r w:rsidR="00D6234A">
        <w:rPr>
          <w:rFonts w:cs="Calibri"/>
          <w:sz w:val="22"/>
          <w:szCs w:val="22"/>
          <w:lang w:eastAsia="sl-SI"/>
        </w:rPr>
        <w:t>a</w:t>
      </w:r>
      <w:r w:rsidRPr="001F119D">
        <w:rPr>
          <w:rFonts w:cs="Calibri"/>
          <w:sz w:val="22"/>
          <w:szCs w:val="22"/>
          <w:lang w:eastAsia="sl-SI"/>
        </w:rPr>
        <w:t xml:space="preserve">n je </w:t>
      </w:r>
      <w:r w:rsidR="00F15ADA">
        <w:rPr>
          <w:rFonts w:cs="Calibri"/>
          <w:sz w:val="22"/>
          <w:szCs w:val="22"/>
          <w:lang w:eastAsia="sl-SI"/>
        </w:rPr>
        <w:t>sekretar Sekretarijata za preduzetništvo</w:t>
      </w:r>
      <w:r w:rsidRPr="001F119D">
        <w:rPr>
          <w:rFonts w:cs="Calibri"/>
          <w:sz w:val="22"/>
          <w:szCs w:val="22"/>
          <w:lang w:eastAsia="sl-SI"/>
        </w:rPr>
        <w:t xml:space="preserve">  u saradnji sa lokalnom partnerskom grupom za zapošljavanje.</w:t>
      </w:r>
      <w:r w:rsidRPr="001F119D">
        <w:rPr>
          <w:sz w:val="22"/>
          <w:szCs w:val="22"/>
        </w:rPr>
        <w:t xml:space="preserve"> </w:t>
      </w:r>
    </w:p>
    <w:p w:rsidR="001F119D" w:rsidRPr="001F119D" w:rsidRDefault="001F119D" w:rsidP="00DE28B8">
      <w:pPr>
        <w:rPr>
          <w:rFonts w:cs="Arial"/>
          <w:sz w:val="22"/>
          <w:szCs w:val="22"/>
          <w:lang w:val="hr-HR"/>
        </w:rPr>
      </w:pPr>
    </w:p>
    <w:p w:rsidR="001F119D" w:rsidRPr="001F119D" w:rsidRDefault="001F119D" w:rsidP="00DE28B8">
      <w:pPr>
        <w:rPr>
          <w:sz w:val="22"/>
          <w:szCs w:val="22"/>
          <w:lang w:val="hr-HR"/>
        </w:rPr>
      </w:pPr>
      <w:r w:rsidRPr="001F119D">
        <w:rPr>
          <w:sz w:val="22"/>
          <w:szCs w:val="22"/>
          <w:lang w:val="hr-HR"/>
        </w:rPr>
        <w:t>PRAĆENJE</w:t>
      </w:r>
    </w:p>
    <w:p w:rsidR="001F119D" w:rsidRPr="001F119D" w:rsidRDefault="001F119D" w:rsidP="00DE28B8">
      <w:pPr>
        <w:rPr>
          <w:rFonts w:cs="Arial"/>
          <w:sz w:val="22"/>
          <w:szCs w:val="22"/>
          <w:lang w:val="hr-HR"/>
        </w:rPr>
      </w:pPr>
    </w:p>
    <w:p w:rsidR="001F119D" w:rsidRPr="001F119D" w:rsidRDefault="001F119D" w:rsidP="00DE28B8">
      <w:pPr>
        <w:pStyle w:val="ListParagraph"/>
        <w:shd w:val="clear" w:color="auto" w:fill="FFFFFF"/>
        <w:ind w:left="0"/>
        <w:jc w:val="both"/>
        <w:rPr>
          <w:sz w:val="22"/>
          <w:szCs w:val="22"/>
        </w:rPr>
      </w:pPr>
      <w:r w:rsidRPr="001F119D">
        <w:rPr>
          <w:sz w:val="22"/>
          <w:szCs w:val="22"/>
        </w:rPr>
        <w:t xml:space="preserve">Sa ciljem praćenja realizacije Strategije zapošljavanja definisan je monitoring sistem koji uključuje indikatore (pokazatelje) uspješnosti za strateški cilj i operativne ciljeve, uz definisanu polaznu osnovu i planirane rezultate. </w:t>
      </w:r>
    </w:p>
    <w:p w:rsidR="001F119D" w:rsidRPr="001F119D" w:rsidRDefault="001F119D" w:rsidP="00DE28B8">
      <w:pPr>
        <w:pStyle w:val="ListParagraph"/>
        <w:shd w:val="clear" w:color="auto" w:fill="FFFFFF"/>
        <w:ind w:left="0"/>
        <w:jc w:val="both"/>
        <w:rPr>
          <w:sz w:val="22"/>
          <w:szCs w:val="22"/>
        </w:rPr>
      </w:pPr>
    </w:p>
    <w:p w:rsidR="001F119D" w:rsidRPr="001F119D" w:rsidRDefault="001F119D" w:rsidP="00DE28B8">
      <w:pPr>
        <w:pStyle w:val="ListParagraph"/>
        <w:shd w:val="clear" w:color="auto" w:fill="FFFFFF"/>
        <w:ind w:left="0"/>
        <w:jc w:val="both"/>
        <w:rPr>
          <w:rFonts w:cs="Calibri"/>
          <w:sz w:val="22"/>
          <w:szCs w:val="22"/>
        </w:rPr>
      </w:pPr>
      <w:r w:rsidRPr="001F119D">
        <w:rPr>
          <w:rFonts w:cs="Calibri"/>
          <w:sz w:val="22"/>
          <w:szCs w:val="22"/>
          <w:lang w:eastAsia="sl-SI"/>
        </w:rPr>
        <w:t xml:space="preserve">Za redovno i kontinuirano praćenje sprovođenja ove Strategije i akcionog plana staraće se </w:t>
      </w:r>
      <w:r w:rsidR="00F15ADA">
        <w:rPr>
          <w:rFonts w:cs="Calibri"/>
          <w:sz w:val="22"/>
          <w:szCs w:val="22"/>
          <w:lang w:eastAsia="sl-SI"/>
        </w:rPr>
        <w:t xml:space="preserve">šef Odjeljenja za preduzetništvo u Sekretarijatu za preduzetništvo </w:t>
      </w:r>
      <w:r w:rsidRPr="001F119D">
        <w:rPr>
          <w:rFonts w:cs="Calibri"/>
          <w:sz w:val="22"/>
          <w:szCs w:val="22"/>
          <w:lang w:eastAsia="sl-SI"/>
        </w:rPr>
        <w:t xml:space="preserve">i lokalna partnerska grupa za zapošljavanje. </w:t>
      </w:r>
    </w:p>
    <w:p w:rsidR="001F119D" w:rsidRPr="001F119D" w:rsidRDefault="001F119D" w:rsidP="00DE28B8">
      <w:pPr>
        <w:pStyle w:val="ListParagraph"/>
        <w:shd w:val="clear" w:color="auto" w:fill="FFFFFF"/>
        <w:ind w:left="0"/>
        <w:rPr>
          <w:b/>
          <w:sz w:val="22"/>
          <w:szCs w:val="22"/>
        </w:rPr>
      </w:pPr>
    </w:p>
    <w:p w:rsidR="001F119D" w:rsidRPr="001F119D" w:rsidRDefault="001F119D" w:rsidP="00DE28B8">
      <w:pPr>
        <w:pStyle w:val="ListParagraph"/>
        <w:shd w:val="clear" w:color="auto" w:fill="FFFFFF"/>
        <w:ind w:left="0"/>
        <w:rPr>
          <w:bCs/>
          <w:sz w:val="22"/>
          <w:szCs w:val="22"/>
        </w:rPr>
      </w:pPr>
      <w:r w:rsidRPr="001F119D">
        <w:rPr>
          <w:bCs/>
          <w:sz w:val="22"/>
          <w:szCs w:val="22"/>
        </w:rPr>
        <w:t>IZVJEŠTAVANJE</w:t>
      </w:r>
    </w:p>
    <w:p w:rsidR="001F119D" w:rsidRPr="001F119D" w:rsidRDefault="001F119D" w:rsidP="00DE28B8">
      <w:pPr>
        <w:pStyle w:val="ListParagraph"/>
        <w:shd w:val="clear" w:color="auto" w:fill="FFFFFF"/>
        <w:ind w:left="0"/>
        <w:rPr>
          <w:bCs/>
          <w:sz w:val="22"/>
          <w:szCs w:val="22"/>
        </w:rPr>
      </w:pPr>
    </w:p>
    <w:p w:rsidR="001F119D" w:rsidRDefault="00F15ADA" w:rsidP="00F67634">
      <w:pPr>
        <w:pStyle w:val="ListParagraph"/>
        <w:shd w:val="clear" w:color="auto" w:fill="FFFFFF"/>
        <w:ind w:left="0"/>
        <w:jc w:val="both"/>
        <w:rPr>
          <w:sz w:val="22"/>
          <w:szCs w:val="22"/>
        </w:rPr>
      </w:pPr>
      <w:r>
        <w:rPr>
          <w:rFonts w:cs="Calibri"/>
          <w:sz w:val="22"/>
          <w:szCs w:val="22"/>
          <w:lang w:eastAsia="sl-SI"/>
        </w:rPr>
        <w:t>Šef Odjeljenja za preduzetništvo u Sekretarijatu za preduzetništvo</w:t>
      </w:r>
      <w:r w:rsidR="001F119D" w:rsidRPr="001F119D">
        <w:rPr>
          <w:rFonts w:cs="Calibri"/>
          <w:sz w:val="22"/>
          <w:szCs w:val="22"/>
          <w:lang w:eastAsia="sl-SI"/>
        </w:rPr>
        <w:t xml:space="preserve"> </w:t>
      </w:r>
      <w:r w:rsidR="001F119D" w:rsidRPr="001F119D">
        <w:rPr>
          <w:sz w:val="22"/>
          <w:szCs w:val="22"/>
        </w:rPr>
        <w:t>će u saradnji sa lokalnom partnerskom grupom jednom godišnje pripremiti izvještaj o sprovođenju strategije zapošljavanja i akcionog plana,</w:t>
      </w:r>
      <w:r w:rsidR="00F67634">
        <w:rPr>
          <w:sz w:val="22"/>
          <w:szCs w:val="22"/>
        </w:rPr>
        <w:t xml:space="preserve"> koji se prosljeđuje skupštini.</w:t>
      </w:r>
    </w:p>
    <w:p w:rsidR="00F67634" w:rsidRPr="001F119D" w:rsidRDefault="00F67634" w:rsidP="00F67634">
      <w:pPr>
        <w:pStyle w:val="ListParagraph"/>
        <w:shd w:val="clear" w:color="auto" w:fill="FFFFFF"/>
        <w:ind w:left="0"/>
        <w:jc w:val="both"/>
        <w:rPr>
          <w:b/>
          <w:sz w:val="22"/>
          <w:szCs w:val="22"/>
        </w:rPr>
      </w:pPr>
    </w:p>
    <w:p w:rsidR="001F119D" w:rsidRPr="001F119D" w:rsidRDefault="001F119D" w:rsidP="00DE28B8">
      <w:pPr>
        <w:pStyle w:val="ListParagraph"/>
        <w:ind w:left="0"/>
        <w:rPr>
          <w:bCs/>
          <w:sz w:val="22"/>
          <w:szCs w:val="22"/>
        </w:rPr>
      </w:pPr>
      <w:r w:rsidRPr="001F119D">
        <w:rPr>
          <w:bCs/>
          <w:sz w:val="22"/>
          <w:szCs w:val="22"/>
        </w:rPr>
        <w:t>PROMOCIJA</w:t>
      </w:r>
    </w:p>
    <w:p w:rsidR="001F119D" w:rsidRPr="001F119D" w:rsidRDefault="001F119D" w:rsidP="00DE28B8">
      <w:pPr>
        <w:pStyle w:val="ListParagraph"/>
        <w:ind w:left="0"/>
        <w:rPr>
          <w:b/>
          <w:sz w:val="22"/>
          <w:szCs w:val="22"/>
        </w:rPr>
      </w:pPr>
    </w:p>
    <w:p w:rsidR="001F119D" w:rsidRPr="001F119D" w:rsidRDefault="001F119D" w:rsidP="00DE28B8">
      <w:pPr>
        <w:pStyle w:val="ListParagraph"/>
        <w:ind w:left="0"/>
        <w:rPr>
          <w:bCs/>
          <w:sz w:val="22"/>
          <w:szCs w:val="22"/>
        </w:rPr>
      </w:pPr>
      <w:r w:rsidRPr="001F119D">
        <w:rPr>
          <w:bCs/>
          <w:sz w:val="22"/>
          <w:szCs w:val="22"/>
        </w:rPr>
        <w:t>Za promociju će se koristiti različiti kanali informisanja i promocije, prvenstveno sajt opštine.</w:t>
      </w:r>
    </w:p>
    <w:p w:rsidR="001F119D" w:rsidRPr="00BC5DBE" w:rsidRDefault="001F119D" w:rsidP="00DE28B8">
      <w:pPr>
        <w:rPr>
          <w:rFonts w:cs="Arial"/>
          <w:szCs w:val="22"/>
          <w:lang w:val="hr-HR"/>
        </w:rPr>
      </w:pPr>
    </w:p>
    <w:bookmarkEnd w:id="135"/>
    <w:p w:rsidR="00B57797" w:rsidRDefault="00B57797" w:rsidP="00DE28B8">
      <w:pPr>
        <w:rPr>
          <w:rFonts w:cs="Arial"/>
          <w:sz w:val="22"/>
          <w:szCs w:val="22"/>
        </w:rPr>
        <w:sectPr w:rsidR="00B57797" w:rsidSect="009B3784">
          <w:headerReference w:type="default" r:id="rId29"/>
          <w:footerReference w:type="default" r:id="rId30"/>
          <w:type w:val="continuous"/>
          <w:pgSz w:w="11906" w:h="16838"/>
          <w:pgMar w:top="1304" w:right="1304" w:bottom="1418" w:left="136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FD6BED" w:rsidRDefault="00FD6BED"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B57797" w:rsidRDefault="00B57797" w:rsidP="00DE28B8">
      <w:pPr>
        <w:rPr>
          <w:rFonts w:cs="Arial"/>
          <w:sz w:val="22"/>
          <w:szCs w:val="22"/>
        </w:rPr>
      </w:pPr>
    </w:p>
    <w:p w:rsidR="00587108" w:rsidRPr="00D855F3" w:rsidRDefault="00B57797" w:rsidP="001568FF">
      <w:pPr>
        <w:pStyle w:val="Heading1"/>
        <w:numPr>
          <w:ilvl w:val="0"/>
          <w:numId w:val="0"/>
        </w:numPr>
        <w:ind w:left="66"/>
        <w:jc w:val="center"/>
        <w:rPr>
          <w:sz w:val="28"/>
          <w:szCs w:val="28"/>
        </w:rPr>
      </w:pPr>
      <w:bookmarkStart w:id="136" w:name="_Toc61211385"/>
      <w:bookmarkStart w:id="137" w:name="_Toc61289799"/>
      <w:bookmarkStart w:id="138" w:name="_Toc63099514"/>
      <w:r w:rsidRPr="00D855F3">
        <w:rPr>
          <w:sz w:val="28"/>
          <w:szCs w:val="28"/>
        </w:rPr>
        <w:t>AK</w:t>
      </w:r>
      <w:r w:rsidR="005E3980" w:rsidRPr="00D855F3">
        <w:rPr>
          <w:sz w:val="28"/>
          <w:szCs w:val="28"/>
        </w:rPr>
        <w:t>C</w:t>
      </w:r>
      <w:r w:rsidRPr="00D855F3">
        <w:rPr>
          <w:sz w:val="28"/>
          <w:szCs w:val="28"/>
        </w:rPr>
        <w:t xml:space="preserve">IONI PLAN ZAPOŠLJAVANJA </w:t>
      </w:r>
      <w:r w:rsidR="005E3980" w:rsidRPr="00D855F3">
        <w:rPr>
          <w:sz w:val="28"/>
          <w:szCs w:val="28"/>
        </w:rPr>
        <w:t xml:space="preserve">GLAVNOG GRADA PODGORICA </w:t>
      </w:r>
      <w:r w:rsidRPr="00D855F3">
        <w:rPr>
          <w:sz w:val="28"/>
          <w:szCs w:val="28"/>
        </w:rPr>
        <w:t xml:space="preserve"> ZA 2021. GODINU</w:t>
      </w:r>
      <w:bookmarkEnd w:id="136"/>
      <w:bookmarkEnd w:id="137"/>
      <w:bookmarkEnd w:id="138"/>
    </w:p>
    <w:p w:rsidR="00587108" w:rsidRPr="00D855F3" w:rsidRDefault="00587108" w:rsidP="00587108">
      <w:pPr>
        <w:rPr>
          <w:sz w:val="28"/>
          <w:szCs w:val="28"/>
        </w:rPr>
      </w:pPr>
    </w:p>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587108" w:rsidRDefault="00587108" w:rsidP="00587108"/>
    <w:p w:rsidR="00C5446A" w:rsidRDefault="00C5446A">
      <w:pPr>
        <w:rPr>
          <w:rFonts w:eastAsiaTheme="majorEastAsia" w:cstheme="majorBidi"/>
          <w:b/>
          <w:color w:val="2F5496" w:themeColor="accent1" w:themeShade="BF"/>
          <w:sz w:val="24"/>
          <w:szCs w:val="26"/>
        </w:rPr>
      </w:pPr>
      <w:bookmarkStart w:id="139" w:name="_Toc63099515"/>
      <w:bookmarkStart w:id="140" w:name="_Hlk60809547"/>
      <w:r>
        <w:br w:type="page"/>
      </w:r>
    </w:p>
    <w:p w:rsidR="00587108" w:rsidRDefault="00587108" w:rsidP="00587108">
      <w:pPr>
        <w:pStyle w:val="Heading2"/>
        <w:jc w:val="center"/>
      </w:pPr>
      <w:r w:rsidRPr="00556665">
        <w:lastRenderedPageBreak/>
        <w:t xml:space="preserve">AKCIONI PLAN ZAPOŠLJAVANJA </w:t>
      </w:r>
      <w:r w:rsidR="001568FF">
        <w:t>GLAVNOG GRADA</w:t>
      </w:r>
      <w:r>
        <w:t xml:space="preserve">  PODGORICA </w:t>
      </w:r>
      <w:r w:rsidRPr="00556665">
        <w:t>ZA 2021. GODINU</w:t>
      </w:r>
      <w:bookmarkEnd w:id="139"/>
    </w:p>
    <w:p w:rsidR="00587108" w:rsidRPr="00556665" w:rsidRDefault="00587108" w:rsidP="00587108">
      <w:pPr>
        <w:jc w:val="center"/>
        <w:rPr>
          <w:b/>
          <w:bCs/>
          <w:sz w:val="28"/>
          <w:szCs w:val="28"/>
        </w:rPr>
      </w:pPr>
    </w:p>
    <w:tbl>
      <w:tblPr>
        <w:tblStyle w:val="TableGrid"/>
        <w:tblW w:w="14454" w:type="dxa"/>
        <w:tblLook w:val="04A0"/>
      </w:tblPr>
      <w:tblGrid>
        <w:gridCol w:w="3348"/>
        <w:gridCol w:w="1710"/>
        <w:gridCol w:w="1488"/>
        <w:gridCol w:w="1788"/>
        <w:gridCol w:w="1808"/>
        <w:gridCol w:w="1513"/>
        <w:gridCol w:w="1286"/>
        <w:gridCol w:w="1513"/>
      </w:tblGrid>
      <w:tr w:rsidR="00587108" w:rsidTr="009D6516">
        <w:tc>
          <w:tcPr>
            <w:tcW w:w="3348" w:type="dxa"/>
            <w:shd w:val="clear" w:color="auto" w:fill="1F3864" w:themeFill="accent1" w:themeFillShade="80"/>
          </w:tcPr>
          <w:p w:rsidR="00587108" w:rsidRPr="00D855F3" w:rsidRDefault="00587108" w:rsidP="00C739C1">
            <w:pPr>
              <w:rPr>
                <w:b/>
                <w:bCs/>
                <w:sz w:val="22"/>
                <w:szCs w:val="22"/>
              </w:rPr>
            </w:pPr>
            <w:r w:rsidRPr="00D855F3">
              <w:rPr>
                <w:b/>
                <w:bCs/>
                <w:sz w:val="22"/>
                <w:szCs w:val="22"/>
              </w:rPr>
              <w:t>STRATEŠKI CILJ</w:t>
            </w:r>
          </w:p>
        </w:tc>
        <w:tc>
          <w:tcPr>
            <w:tcW w:w="11106" w:type="dxa"/>
            <w:gridSpan w:val="7"/>
          </w:tcPr>
          <w:p w:rsidR="00587108" w:rsidRDefault="00587108" w:rsidP="00C739C1"/>
          <w:p w:rsidR="00F15ADA" w:rsidRPr="00D855F3" w:rsidRDefault="00F15ADA" w:rsidP="00F15ADA">
            <w:pPr>
              <w:rPr>
                <w:b/>
                <w:bCs/>
                <w:sz w:val="22"/>
                <w:szCs w:val="22"/>
              </w:rPr>
            </w:pPr>
            <w:r w:rsidRPr="00D855F3">
              <w:rPr>
                <w:b/>
                <w:bCs/>
                <w:sz w:val="22"/>
                <w:szCs w:val="22"/>
              </w:rPr>
              <w:t>POVEĆANJE ZAPOSLENOSTI</w:t>
            </w:r>
          </w:p>
          <w:p w:rsidR="00C7285E" w:rsidRDefault="00C7285E" w:rsidP="00C739C1"/>
        </w:tc>
      </w:tr>
      <w:tr w:rsidR="00587108" w:rsidTr="009D6516">
        <w:tc>
          <w:tcPr>
            <w:tcW w:w="3348" w:type="dxa"/>
            <w:shd w:val="clear" w:color="auto" w:fill="FFD966" w:themeFill="accent4" w:themeFillTint="99"/>
          </w:tcPr>
          <w:p w:rsidR="00587108" w:rsidRPr="00C7285E" w:rsidRDefault="00587108" w:rsidP="00C739C1">
            <w:pPr>
              <w:rPr>
                <w:b/>
                <w:bCs/>
              </w:rPr>
            </w:pPr>
            <w:r w:rsidRPr="00C7285E">
              <w:rPr>
                <w:b/>
                <w:bCs/>
              </w:rPr>
              <w:t>Cilj 1</w:t>
            </w:r>
          </w:p>
        </w:tc>
        <w:tc>
          <w:tcPr>
            <w:tcW w:w="11106" w:type="dxa"/>
            <w:gridSpan w:val="7"/>
          </w:tcPr>
          <w:p w:rsidR="00587108" w:rsidRDefault="00F15ADA" w:rsidP="00C739C1">
            <w:r w:rsidRPr="00F15ADA">
              <w:rPr>
                <w:b/>
                <w:lang w:val="sl-SI"/>
              </w:rPr>
              <w:t>Povećanje nivoa znanja i vještina radne snage</w:t>
            </w:r>
          </w:p>
          <w:p w:rsidR="00C7285E" w:rsidRDefault="00C7285E" w:rsidP="00C739C1"/>
        </w:tc>
      </w:tr>
      <w:tr w:rsidR="00587108" w:rsidTr="009D6516">
        <w:tc>
          <w:tcPr>
            <w:tcW w:w="3348" w:type="dxa"/>
            <w:shd w:val="clear" w:color="auto" w:fill="D9D9D9" w:themeFill="background1" w:themeFillShade="D9"/>
          </w:tcPr>
          <w:p w:rsidR="00587108" w:rsidRDefault="00587108" w:rsidP="00C739C1">
            <w:r>
              <w:t>Aktivnost/mjera</w:t>
            </w:r>
          </w:p>
        </w:tc>
        <w:tc>
          <w:tcPr>
            <w:tcW w:w="1710" w:type="dxa"/>
            <w:shd w:val="clear" w:color="auto" w:fill="D9D9D9" w:themeFill="background1" w:themeFillShade="D9"/>
          </w:tcPr>
          <w:p w:rsidR="00587108" w:rsidRDefault="00587108" w:rsidP="00C739C1">
            <w:r>
              <w:t>Ciljna grupa</w:t>
            </w:r>
          </w:p>
        </w:tc>
        <w:tc>
          <w:tcPr>
            <w:tcW w:w="1488" w:type="dxa"/>
            <w:shd w:val="clear" w:color="auto" w:fill="D9D9D9" w:themeFill="background1" w:themeFillShade="D9"/>
          </w:tcPr>
          <w:p w:rsidR="00587108" w:rsidRDefault="00587108" w:rsidP="00C739C1">
            <w:r>
              <w:t>Planiran broj uključenih</w:t>
            </w:r>
          </w:p>
        </w:tc>
        <w:tc>
          <w:tcPr>
            <w:tcW w:w="1788" w:type="dxa"/>
            <w:shd w:val="clear" w:color="auto" w:fill="D9D9D9" w:themeFill="background1" w:themeFillShade="D9"/>
          </w:tcPr>
          <w:p w:rsidR="00587108" w:rsidRDefault="00587108" w:rsidP="00C739C1">
            <w:r>
              <w:t>Očekivan rezultat</w:t>
            </w:r>
          </w:p>
        </w:tc>
        <w:tc>
          <w:tcPr>
            <w:tcW w:w="1808" w:type="dxa"/>
            <w:shd w:val="clear" w:color="auto" w:fill="D9D9D9" w:themeFill="background1" w:themeFillShade="D9"/>
          </w:tcPr>
          <w:p w:rsidR="00587108" w:rsidRDefault="00587108" w:rsidP="00C739C1">
            <w:r>
              <w:t>Potrebna finansijska sredstva</w:t>
            </w:r>
          </w:p>
        </w:tc>
        <w:tc>
          <w:tcPr>
            <w:tcW w:w="1513" w:type="dxa"/>
            <w:shd w:val="clear" w:color="auto" w:fill="D9D9D9" w:themeFill="background1" w:themeFillShade="D9"/>
          </w:tcPr>
          <w:p w:rsidR="00587108" w:rsidRDefault="00587108" w:rsidP="00C739C1">
            <w:r>
              <w:t>Izvor (i) finansiranja</w:t>
            </w:r>
          </w:p>
        </w:tc>
        <w:tc>
          <w:tcPr>
            <w:tcW w:w="1286" w:type="dxa"/>
            <w:shd w:val="clear" w:color="auto" w:fill="D9D9D9" w:themeFill="background1" w:themeFillShade="D9"/>
          </w:tcPr>
          <w:p w:rsidR="00587108" w:rsidRDefault="00587108" w:rsidP="00C739C1">
            <w:r>
              <w:t>Period sprovođenja</w:t>
            </w:r>
          </w:p>
          <w:p w:rsidR="00587108" w:rsidRDefault="00587108" w:rsidP="00C739C1">
            <w:r>
              <w:t>(kvartal)</w:t>
            </w:r>
          </w:p>
        </w:tc>
        <w:tc>
          <w:tcPr>
            <w:tcW w:w="1513" w:type="dxa"/>
            <w:shd w:val="clear" w:color="auto" w:fill="D9D9D9" w:themeFill="background1" w:themeFillShade="D9"/>
          </w:tcPr>
          <w:p w:rsidR="00587108" w:rsidRDefault="00587108" w:rsidP="00C739C1">
            <w:r>
              <w:t>Odgovornost za sprovođenje</w:t>
            </w:r>
          </w:p>
        </w:tc>
      </w:tr>
      <w:tr w:rsidR="005E2A88" w:rsidTr="009D6516">
        <w:tc>
          <w:tcPr>
            <w:tcW w:w="3348" w:type="dxa"/>
          </w:tcPr>
          <w:p w:rsidR="005E2A88" w:rsidRPr="003408F1" w:rsidRDefault="005E2A88" w:rsidP="007124B0">
            <w:pPr>
              <w:rPr>
                <w:lang w:val="bs-Latn-BA"/>
              </w:rPr>
            </w:pPr>
            <w:r>
              <w:rPr>
                <w:lang w:val="bs-Latn-BA"/>
              </w:rPr>
              <w:t xml:space="preserve">1.1 </w:t>
            </w:r>
            <w:r w:rsidRPr="003408F1">
              <w:rPr>
                <w:lang w:val="bs-Latn-BA"/>
              </w:rPr>
              <w:t>Obuke za poljoprivrednike i turizam</w:t>
            </w:r>
          </w:p>
        </w:tc>
        <w:tc>
          <w:tcPr>
            <w:tcW w:w="1710" w:type="dxa"/>
          </w:tcPr>
          <w:p w:rsidR="005E2A88" w:rsidRPr="00BE4FF9" w:rsidRDefault="005E2A88" w:rsidP="007124B0">
            <w:r w:rsidRPr="003408F1">
              <w:rPr>
                <w:lang w:val="bs-Latn-BA"/>
              </w:rPr>
              <w:t>Poljoprivrednici</w:t>
            </w:r>
          </w:p>
        </w:tc>
        <w:tc>
          <w:tcPr>
            <w:tcW w:w="1488" w:type="dxa"/>
          </w:tcPr>
          <w:p w:rsidR="005E2A88" w:rsidRDefault="005E2A88" w:rsidP="00C739C1">
            <w:r>
              <w:t>20</w:t>
            </w:r>
          </w:p>
        </w:tc>
        <w:tc>
          <w:tcPr>
            <w:tcW w:w="1788" w:type="dxa"/>
          </w:tcPr>
          <w:p w:rsidR="005E2A88" w:rsidRDefault="005E2A88" w:rsidP="00C739C1">
            <w:r>
              <w:t>Stečene vještine pisanja biznis plana</w:t>
            </w:r>
          </w:p>
        </w:tc>
        <w:tc>
          <w:tcPr>
            <w:tcW w:w="1808" w:type="dxa"/>
          </w:tcPr>
          <w:p w:rsidR="005E2A88" w:rsidRDefault="009D6516" w:rsidP="00C739C1">
            <w:r>
              <w:t>1.000</w:t>
            </w:r>
            <w:r w:rsidR="005E2A88">
              <w:t xml:space="preserve"> EUR</w:t>
            </w:r>
          </w:p>
        </w:tc>
        <w:tc>
          <w:tcPr>
            <w:tcW w:w="1513" w:type="dxa"/>
          </w:tcPr>
          <w:p w:rsidR="005E2A88" w:rsidRDefault="005E2A88" w:rsidP="005E2A88">
            <w:r>
              <w:t>Budžet Sekretarijata za preduzetništvo</w:t>
            </w:r>
          </w:p>
        </w:tc>
        <w:tc>
          <w:tcPr>
            <w:tcW w:w="1286" w:type="dxa"/>
          </w:tcPr>
          <w:p w:rsidR="005E2A88" w:rsidRDefault="005E2A88" w:rsidP="00C739C1">
            <w:r>
              <w:t>IV</w:t>
            </w:r>
          </w:p>
        </w:tc>
        <w:tc>
          <w:tcPr>
            <w:tcW w:w="1513" w:type="dxa"/>
          </w:tcPr>
          <w:p w:rsidR="005E2A88" w:rsidRDefault="005E2A88" w:rsidP="00C739C1">
            <w:r>
              <w:t>Sekretarijat za preduzetništvo</w:t>
            </w:r>
          </w:p>
        </w:tc>
      </w:tr>
      <w:tr w:rsidR="005E2A88" w:rsidTr="009D6516">
        <w:tc>
          <w:tcPr>
            <w:tcW w:w="3348" w:type="dxa"/>
          </w:tcPr>
          <w:p w:rsidR="005E2A88" w:rsidRPr="003408F1" w:rsidRDefault="005E2A88" w:rsidP="007124B0">
            <w:pPr>
              <w:rPr>
                <w:lang w:val="bs-Latn-BA"/>
              </w:rPr>
            </w:pPr>
            <w:r>
              <w:rPr>
                <w:lang w:val="bs-Latn-BA"/>
              </w:rPr>
              <w:t xml:space="preserve">1.2 </w:t>
            </w:r>
            <w:r w:rsidRPr="005E2A88">
              <w:rPr>
                <w:lang w:val="bs-Latn-BA"/>
              </w:rPr>
              <w:t>Programi za sticanje ključnih vještina – napredne IT vještine</w:t>
            </w:r>
          </w:p>
        </w:tc>
        <w:tc>
          <w:tcPr>
            <w:tcW w:w="1710" w:type="dxa"/>
          </w:tcPr>
          <w:p w:rsidR="005E2A88" w:rsidRPr="005E2A88" w:rsidRDefault="005E2A88" w:rsidP="007124B0">
            <w:pPr>
              <w:rPr>
                <w:lang w:val="bs-Latn-BA"/>
              </w:rPr>
            </w:pPr>
            <w:r w:rsidRPr="005E2A88">
              <w:rPr>
                <w:lang w:val="bs-Latn-BA"/>
              </w:rPr>
              <w:t xml:space="preserve">Zaposleni, nezaposleni </w:t>
            </w:r>
          </w:p>
        </w:tc>
        <w:tc>
          <w:tcPr>
            <w:tcW w:w="1488" w:type="dxa"/>
          </w:tcPr>
          <w:p w:rsidR="005E2A88" w:rsidRDefault="005E2A88" w:rsidP="00C739C1">
            <w:r>
              <w:t>10</w:t>
            </w:r>
          </w:p>
        </w:tc>
        <w:tc>
          <w:tcPr>
            <w:tcW w:w="1788" w:type="dxa"/>
          </w:tcPr>
          <w:p w:rsidR="005E2A88" w:rsidRDefault="005E2A88" w:rsidP="00C739C1">
            <w:r>
              <w:t>Stečene vještine rada na MS Office programima</w:t>
            </w:r>
          </w:p>
        </w:tc>
        <w:tc>
          <w:tcPr>
            <w:tcW w:w="1808" w:type="dxa"/>
          </w:tcPr>
          <w:p w:rsidR="005E2A88" w:rsidRDefault="009D6516" w:rsidP="00C739C1">
            <w:r>
              <w:t>1.000</w:t>
            </w:r>
            <w:r w:rsidR="005E2A88">
              <w:t xml:space="preserve"> EUR</w:t>
            </w:r>
          </w:p>
        </w:tc>
        <w:tc>
          <w:tcPr>
            <w:tcW w:w="1513" w:type="dxa"/>
          </w:tcPr>
          <w:p w:rsidR="005E2A88" w:rsidRDefault="005E2A88" w:rsidP="007124B0">
            <w:r>
              <w:t>Budžet Sekretarijata za preduzetništvo</w:t>
            </w:r>
          </w:p>
        </w:tc>
        <w:tc>
          <w:tcPr>
            <w:tcW w:w="1286" w:type="dxa"/>
          </w:tcPr>
          <w:p w:rsidR="005E2A88" w:rsidRDefault="005E2A88" w:rsidP="00C739C1">
            <w:r>
              <w:t>III i IV</w:t>
            </w:r>
          </w:p>
        </w:tc>
        <w:tc>
          <w:tcPr>
            <w:tcW w:w="1513" w:type="dxa"/>
          </w:tcPr>
          <w:p w:rsidR="005E2A88" w:rsidRDefault="005E2A88" w:rsidP="00C739C1">
            <w:r>
              <w:t>Sekretarijat za preduzetništvo</w:t>
            </w:r>
          </w:p>
        </w:tc>
      </w:tr>
      <w:tr w:rsidR="00F63364" w:rsidTr="009D6516">
        <w:tc>
          <w:tcPr>
            <w:tcW w:w="3348" w:type="dxa"/>
          </w:tcPr>
          <w:p w:rsidR="00F63364" w:rsidRPr="00664E6B" w:rsidRDefault="00F63364" w:rsidP="00F63364">
            <w:pPr>
              <w:rPr>
                <w:highlight w:val="green"/>
              </w:rPr>
            </w:pPr>
            <w:r w:rsidRPr="00664E6B">
              <w:rPr>
                <w:lang w:val="bs-Latn-BA"/>
              </w:rPr>
              <w:t>1.3 Obrazovanje i osposobljavanje odraslih (ZZZCG)</w:t>
            </w:r>
          </w:p>
        </w:tc>
        <w:tc>
          <w:tcPr>
            <w:tcW w:w="1710" w:type="dxa"/>
          </w:tcPr>
          <w:p w:rsidR="00F63364" w:rsidRPr="00664E6B" w:rsidRDefault="00F63364" w:rsidP="00F63364">
            <w:r w:rsidRPr="00664E6B">
              <w:rPr>
                <w:iCs/>
                <w:lang w:val="bs-Latn-BA"/>
              </w:rPr>
              <w:t xml:space="preserve">Nezaposlena lica </w:t>
            </w:r>
            <w:r w:rsidRPr="00664E6B">
              <w:t xml:space="preserve">nedovoljnog ili neodgovarajućeg obrazovanja </w:t>
            </w:r>
            <w:r w:rsidRPr="00664E6B">
              <w:rPr>
                <w:iCs/>
                <w:lang w:val="bs-Latn-BA"/>
              </w:rPr>
              <w:t xml:space="preserve">prijavljena na evidenciji ZZZCG </w:t>
            </w:r>
          </w:p>
        </w:tc>
        <w:tc>
          <w:tcPr>
            <w:tcW w:w="1488" w:type="dxa"/>
          </w:tcPr>
          <w:p w:rsidR="00F63364" w:rsidRPr="00664E6B" w:rsidRDefault="00664E6B" w:rsidP="00F63364">
            <w:r>
              <w:t>100</w:t>
            </w:r>
          </w:p>
        </w:tc>
        <w:tc>
          <w:tcPr>
            <w:tcW w:w="1788" w:type="dxa"/>
          </w:tcPr>
          <w:p w:rsidR="00F63364" w:rsidRPr="00664E6B" w:rsidRDefault="00F63364" w:rsidP="00F63364">
            <w:r w:rsidRPr="00664E6B">
              <w:t xml:space="preserve">90% učesnika programa sa uspjehom završi program. </w:t>
            </w:r>
          </w:p>
          <w:p w:rsidR="00F63364" w:rsidRPr="00664E6B" w:rsidRDefault="00F63364" w:rsidP="00F63364">
            <w:r w:rsidRPr="00664E6B">
              <w:t xml:space="preserve">U periodu od 6 mjeseci nakon sticanja stručne kvalifikacije zaposli </w:t>
            </w:r>
            <w:r w:rsidR="00664E6B">
              <w:t xml:space="preserve">se </w:t>
            </w:r>
            <w:r w:rsidRPr="00664E6B">
              <w:t xml:space="preserve">20% učesnika. </w:t>
            </w:r>
          </w:p>
          <w:p w:rsidR="00F63364" w:rsidRPr="00664E6B" w:rsidRDefault="00F63364" w:rsidP="00F63364"/>
        </w:tc>
        <w:tc>
          <w:tcPr>
            <w:tcW w:w="1808" w:type="dxa"/>
          </w:tcPr>
          <w:p w:rsidR="00F63364" w:rsidRPr="00664E6B" w:rsidRDefault="00F63364" w:rsidP="00F63364">
            <w:r w:rsidRPr="00664E6B">
              <w:t>565 EUR prosječno za jedno uključeno lice</w:t>
            </w:r>
          </w:p>
        </w:tc>
        <w:tc>
          <w:tcPr>
            <w:tcW w:w="1513" w:type="dxa"/>
          </w:tcPr>
          <w:p w:rsidR="00F63364" w:rsidRPr="00664E6B" w:rsidRDefault="00F63364" w:rsidP="00F63364">
            <w:r w:rsidRPr="00664E6B">
              <w:t>ZZZCG</w:t>
            </w:r>
          </w:p>
        </w:tc>
        <w:tc>
          <w:tcPr>
            <w:tcW w:w="1286" w:type="dxa"/>
          </w:tcPr>
          <w:p w:rsidR="00F63364" w:rsidRPr="00664E6B" w:rsidRDefault="00F63364" w:rsidP="00F63364">
            <w:r w:rsidRPr="00664E6B">
              <w:t>III-IV</w:t>
            </w:r>
          </w:p>
        </w:tc>
        <w:tc>
          <w:tcPr>
            <w:tcW w:w="1513" w:type="dxa"/>
          </w:tcPr>
          <w:p w:rsidR="00F63364" w:rsidRPr="00664E6B" w:rsidRDefault="00F63364" w:rsidP="00F63364">
            <w:r w:rsidRPr="00664E6B">
              <w:t>Zavod za zapošljavanje Crne Gore</w:t>
            </w:r>
          </w:p>
        </w:tc>
      </w:tr>
      <w:tr w:rsidR="00F63364" w:rsidTr="009D6516">
        <w:tc>
          <w:tcPr>
            <w:tcW w:w="3348" w:type="dxa"/>
          </w:tcPr>
          <w:p w:rsidR="00F63364" w:rsidRPr="00664E6B" w:rsidRDefault="00F63364" w:rsidP="00F63364">
            <w:pPr>
              <w:rPr>
                <w:highlight w:val="green"/>
              </w:rPr>
            </w:pPr>
            <w:r w:rsidRPr="00664E6B">
              <w:rPr>
                <w:lang w:val="bs-Latn-BA"/>
              </w:rPr>
              <w:t>1.4 Osposobljavanje za samostalan rad (ZZZCG)</w:t>
            </w:r>
          </w:p>
        </w:tc>
        <w:tc>
          <w:tcPr>
            <w:tcW w:w="1710" w:type="dxa"/>
          </w:tcPr>
          <w:p w:rsidR="00F63364" w:rsidRPr="00664E6B" w:rsidRDefault="00F63364" w:rsidP="00F63364">
            <w:r w:rsidRPr="00664E6B">
              <w:rPr>
                <w:iCs/>
                <w:lang w:val="bs-Latn-BA"/>
              </w:rPr>
              <w:t xml:space="preserve">Nezaposlena lica sa III i IV stepenom obrazovanja </w:t>
            </w:r>
            <w:r w:rsidRPr="00664E6B">
              <w:t xml:space="preserve">bez radnog iskustva u području rada stečene kvalifikacije nivoa </w:t>
            </w:r>
            <w:r w:rsidRPr="00664E6B">
              <w:lastRenderedPageBreak/>
              <w:t xml:space="preserve">obrazovanja </w:t>
            </w:r>
            <w:r w:rsidRPr="00664E6B">
              <w:rPr>
                <w:iCs/>
                <w:lang w:val="bs-Latn-BA"/>
              </w:rPr>
              <w:t>prijavljena na evidenciji ZZZCG</w:t>
            </w:r>
          </w:p>
        </w:tc>
        <w:tc>
          <w:tcPr>
            <w:tcW w:w="1488" w:type="dxa"/>
          </w:tcPr>
          <w:p w:rsidR="00F63364" w:rsidRPr="00664E6B" w:rsidRDefault="00664E6B" w:rsidP="00F63364">
            <w:r>
              <w:lastRenderedPageBreak/>
              <w:t>50</w:t>
            </w:r>
          </w:p>
        </w:tc>
        <w:tc>
          <w:tcPr>
            <w:tcW w:w="1788" w:type="dxa"/>
          </w:tcPr>
          <w:p w:rsidR="00664E6B" w:rsidRPr="00664E6B" w:rsidRDefault="00664E6B" w:rsidP="00664E6B">
            <w:r w:rsidRPr="00664E6B">
              <w:t xml:space="preserve">90% učesnika programa sa uspjehom završi program. </w:t>
            </w:r>
          </w:p>
          <w:p w:rsidR="00F63364" w:rsidRPr="00664E6B" w:rsidRDefault="00F63364" w:rsidP="00F63364"/>
        </w:tc>
        <w:tc>
          <w:tcPr>
            <w:tcW w:w="1808" w:type="dxa"/>
          </w:tcPr>
          <w:p w:rsidR="00F63364" w:rsidRPr="00664E6B" w:rsidRDefault="00F63364" w:rsidP="00F63364">
            <w:r w:rsidRPr="00664E6B">
              <w:t>2.184 EUR prosječno za jedno uključeno lice</w:t>
            </w:r>
          </w:p>
        </w:tc>
        <w:tc>
          <w:tcPr>
            <w:tcW w:w="1513" w:type="dxa"/>
          </w:tcPr>
          <w:p w:rsidR="00F63364" w:rsidRPr="00664E6B" w:rsidRDefault="00F63364" w:rsidP="00F63364">
            <w:r w:rsidRPr="00664E6B">
              <w:t>Budžet za mjere aktivne politike zapošljavanja</w:t>
            </w:r>
          </w:p>
        </w:tc>
        <w:tc>
          <w:tcPr>
            <w:tcW w:w="1286" w:type="dxa"/>
          </w:tcPr>
          <w:p w:rsidR="00F63364" w:rsidRPr="00664E6B" w:rsidRDefault="00F63364" w:rsidP="00F63364">
            <w:r w:rsidRPr="00664E6B">
              <w:t>II</w:t>
            </w:r>
            <w:r w:rsidR="00664E6B" w:rsidRPr="00664E6B">
              <w:t>I</w:t>
            </w:r>
            <w:r w:rsidRPr="00664E6B">
              <w:t xml:space="preserve"> - IV</w:t>
            </w:r>
          </w:p>
        </w:tc>
        <w:tc>
          <w:tcPr>
            <w:tcW w:w="1513" w:type="dxa"/>
          </w:tcPr>
          <w:p w:rsidR="00F63364" w:rsidRPr="00664E6B" w:rsidRDefault="00F63364" w:rsidP="00F63364">
            <w:r w:rsidRPr="00664E6B">
              <w:t>Zavod za zapošljavanje Crne Gore</w:t>
            </w:r>
          </w:p>
        </w:tc>
      </w:tr>
      <w:tr w:rsidR="00F63364" w:rsidTr="009D6516">
        <w:tc>
          <w:tcPr>
            <w:tcW w:w="3348" w:type="dxa"/>
          </w:tcPr>
          <w:p w:rsidR="00F63364" w:rsidRDefault="00F63364" w:rsidP="00F63364">
            <w:r w:rsidRPr="00664E6B">
              <w:rPr>
                <w:lang w:val="bs-Latn-BA"/>
              </w:rPr>
              <w:lastRenderedPageBreak/>
              <w:t>1.5 Osposobljavanje za rad kod poslodavca  (ZZZCG)</w:t>
            </w:r>
          </w:p>
        </w:tc>
        <w:tc>
          <w:tcPr>
            <w:tcW w:w="1710" w:type="dxa"/>
          </w:tcPr>
          <w:p w:rsidR="00F63364" w:rsidRPr="00664E6B" w:rsidRDefault="00F63364" w:rsidP="00F63364">
            <w:r w:rsidRPr="00664E6B">
              <w:rPr>
                <w:lang w:val="bs-Latn-BA"/>
              </w:rPr>
              <w:t xml:space="preserve">Nezaposlena lica prijavljena na evidenciji ZZZCG </w:t>
            </w:r>
            <w:r w:rsidRPr="00664E6B">
              <w:t>koja nemaju znanja, vještine i kompetencije za obavljanje poslova i radnih zadataka određenih radnih mjesta.</w:t>
            </w:r>
          </w:p>
        </w:tc>
        <w:tc>
          <w:tcPr>
            <w:tcW w:w="1488" w:type="dxa"/>
          </w:tcPr>
          <w:p w:rsidR="00F63364" w:rsidRPr="00664E6B" w:rsidRDefault="00664E6B" w:rsidP="00F63364">
            <w:r>
              <w:t>50</w:t>
            </w:r>
          </w:p>
        </w:tc>
        <w:tc>
          <w:tcPr>
            <w:tcW w:w="1788" w:type="dxa"/>
          </w:tcPr>
          <w:p w:rsidR="00664E6B" w:rsidRPr="00664E6B" w:rsidRDefault="00664E6B" w:rsidP="00664E6B">
            <w:r w:rsidRPr="00664E6B">
              <w:t xml:space="preserve">90% učesnika programa sa uspjehom završi program. </w:t>
            </w:r>
          </w:p>
          <w:p w:rsidR="00664E6B" w:rsidRPr="00664E6B" w:rsidRDefault="00664E6B" w:rsidP="00664E6B">
            <w:r w:rsidRPr="00664E6B">
              <w:t xml:space="preserve">U periodu od 6 mjeseci nakon sticanja stručne kvalifikacije zaposli se </w:t>
            </w:r>
            <w:r w:rsidR="009D6516">
              <w:t xml:space="preserve">najmanje </w:t>
            </w:r>
            <w:r w:rsidRPr="00664E6B">
              <w:t xml:space="preserve">20% učesnika. </w:t>
            </w:r>
          </w:p>
          <w:p w:rsidR="00F63364" w:rsidRPr="00664E6B" w:rsidRDefault="00F63364" w:rsidP="00F63364"/>
        </w:tc>
        <w:tc>
          <w:tcPr>
            <w:tcW w:w="1808" w:type="dxa"/>
          </w:tcPr>
          <w:p w:rsidR="00F63364" w:rsidRPr="00664E6B" w:rsidRDefault="00F63364" w:rsidP="00F63364">
            <w:r w:rsidRPr="00664E6B">
              <w:t>1.092 EUR prosječno za jedno uključeno lice</w:t>
            </w:r>
          </w:p>
        </w:tc>
        <w:tc>
          <w:tcPr>
            <w:tcW w:w="1513" w:type="dxa"/>
          </w:tcPr>
          <w:p w:rsidR="00F63364" w:rsidRPr="00664E6B" w:rsidRDefault="00F63364" w:rsidP="00F63364">
            <w:r w:rsidRPr="00664E6B">
              <w:t>Budžet za mjere aktivne politike zapošljavanja</w:t>
            </w:r>
          </w:p>
        </w:tc>
        <w:tc>
          <w:tcPr>
            <w:tcW w:w="1286" w:type="dxa"/>
          </w:tcPr>
          <w:p w:rsidR="00F63364" w:rsidRPr="00664E6B" w:rsidRDefault="00F63364" w:rsidP="00F63364">
            <w:r w:rsidRPr="00664E6B">
              <w:t>II</w:t>
            </w:r>
            <w:r w:rsidR="00664E6B" w:rsidRPr="00664E6B">
              <w:t>I</w:t>
            </w:r>
            <w:r w:rsidRPr="00664E6B">
              <w:t xml:space="preserve"> - IV</w:t>
            </w:r>
          </w:p>
        </w:tc>
        <w:tc>
          <w:tcPr>
            <w:tcW w:w="1513" w:type="dxa"/>
          </w:tcPr>
          <w:p w:rsidR="00F63364" w:rsidRPr="00664E6B" w:rsidRDefault="00F63364" w:rsidP="00F63364">
            <w:r w:rsidRPr="00664E6B">
              <w:t>Zavod za zapošljavanje Crne Gore</w:t>
            </w:r>
          </w:p>
        </w:tc>
      </w:tr>
    </w:tbl>
    <w:p w:rsidR="00587108" w:rsidRDefault="00587108" w:rsidP="00587108"/>
    <w:tbl>
      <w:tblPr>
        <w:tblStyle w:val="TableGrid"/>
        <w:tblW w:w="14454" w:type="dxa"/>
        <w:tblLook w:val="04A0"/>
      </w:tblPr>
      <w:tblGrid>
        <w:gridCol w:w="3369"/>
        <w:gridCol w:w="1701"/>
        <w:gridCol w:w="1275"/>
        <w:gridCol w:w="1701"/>
        <w:gridCol w:w="1413"/>
        <w:gridCol w:w="1989"/>
        <w:gridCol w:w="1405"/>
        <w:gridCol w:w="1601"/>
      </w:tblGrid>
      <w:tr w:rsidR="00587108" w:rsidTr="002A4165">
        <w:tc>
          <w:tcPr>
            <w:tcW w:w="3369" w:type="dxa"/>
            <w:shd w:val="clear" w:color="auto" w:fill="FFD966" w:themeFill="accent4" w:themeFillTint="99"/>
          </w:tcPr>
          <w:p w:rsidR="00587108" w:rsidRPr="00C7285E" w:rsidRDefault="00587108" w:rsidP="00C739C1">
            <w:pPr>
              <w:rPr>
                <w:b/>
                <w:bCs/>
              </w:rPr>
            </w:pPr>
            <w:r w:rsidRPr="00C7285E">
              <w:rPr>
                <w:b/>
                <w:bCs/>
              </w:rPr>
              <w:t>Cilj 2</w:t>
            </w:r>
          </w:p>
        </w:tc>
        <w:tc>
          <w:tcPr>
            <w:tcW w:w="11085" w:type="dxa"/>
            <w:gridSpan w:val="7"/>
          </w:tcPr>
          <w:p w:rsidR="00587108" w:rsidRDefault="00F15ADA" w:rsidP="00C739C1">
            <w:r w:rsidRPr="00F15ADA">
              <w:rPr>
                <w:b/>
                <w:lang w:val="sl-SI"/>
              </w:rPr>
              <w:t>Unapređenje razvoja preduzetništva</w:t>
            </w:r>
          </w:p>
          <w:p w:rsidR="00C7285E" w:rsidRDefault="00C7285E" w:rsidP="00C739C1"/>
        </w:tc>
      </w:tr>
      <w:tr w:rsidR="006A3A41" w:rsidTr="002A4165">
        <w:tc>
          <w:tcPr>
            <w:tcW w:w="3369" w:type="dxa"/>
            <w:shd w:val="clear" w:color="auto" w:fill="D9D9D9" w:themeFill="background1" w:themeFillShade="D9"/>
          </w:tcPr>
          <w:p w:rsidR="00587108" w:rsidRDefault="00587108" w:rsidP="00C739C1">
            <w:r>
              <w:t>Aktivnost/mjera</w:t>
            </w:r>
          </w:p>
        </w:tc>
        <w:tc>
          <w:tcPr>
            <w:tcW w:w="1701" w:type="dxa"/>
            <w:shd w:val="clear" w:color="auto" w:fill="D9D9D9" w:themeFill="background1" w:themeFillShade="D9"/>
          </w:tcPr>
          <w:p w:rsidR="00587108" w:rsidRDefault="00587108" w:rsidP="00C739C1">
            <w:r>
              <w:t>Ciljna grupa</w:t>
            </w:r>
          </w:p>
        </w:tc>
        <w:tc>
          <w:tcPr>
            <w:tcW w:w="1275" w:type="dxa"/>
            <w:shd w:val="clear" w:color="auto" w:fill="D9D9D9" w:themeFill="background1" w:themeFillShade="D9"/>
          </w:tcPr>
          <w:p w:rsidR="00587108" w:rsidRDefault="00587108" w:rsidP="00C739C1">
            <w:r>
              <w:t>Planiran broj uključenih</w:t>
            </w:r>
          </w:p>
        </w:tc>
        <w:tc>
          <w:tcPr>
            <w:tcW w:w="1701" w:type="dxa"/>
            <w:shd w:val="clear" w:color="auto" w:fill="D9D9D9" w:themeFill="background1" w:themeFillShade="D9"/>
          </w:tcPr>
          <w:p w:rsidR="00587108" w:rsidRDefault="00587108" w:rsidP="00C739C1">
            <w:r>
              <w:t>Očekivan rezultat</w:t>
            </w:r>
          </w:p>
        </w:tc>
        <w:tc>
          <w:tcPr>
            <w:tcW w:w="1413" w:type="dxa"/>
            <w:shd w:val="clear" w:color="auto" w:fill="D9D9D9" w:themeFill="background1" w:themeFillShade="D9"/>
          </w:tcPr>
          <w:p w:rsidR="00587108" w:rsidRDefault="00587108" w:rsidP="00C739C1">
            <w:r>
              <w:t>Potrebna finansijska sredstva</w:t>
            </w:r>
          </w:p>
        </w:tc>
        <w:tc>
          <w:tcPr>
            <w:tcW w:w="1989" w:type="dxa"/>
            <w:shd w:val="clear" w:color="auto" w:fill="D9D9D9" w:themeFill="background1" w:themeFillShade="D9"/>
          </w:tcPr>
          <w:p w:rsidR="00587108" w:rsidRDefault="00587108" w:rsidP="00C739C1">
            <w:r>
              <w:t>Izvor (i) finansiranja</w:t>
            </w:r>
          </w:p>
        </w:tc>
        <w:tc>
          <w:tcPr>
            <w:tcW w:w="1405" w:type="dxa"/>
            <w:shd w:val="clear" w:color="auto" w:fill="D9D9D9" w:themeFill="background1" w:themeFillShade="D9"/>
          </w:tcPr>
          <w:p w:rsidR="00587108" w:rsidRDefault="00587108" w:rsidP="00C739C1">
            <w:r>
              <w:t>Period sprovođenja</w:t>
            </w:r>
          </w:p>
          <w:p w:rsidR="00587108" w:rsidRDefault="00587108" w:rsidP="00C739C1">
            <w:r>
              <w:t>(kvartal)</w:t>
            </w:r>
          </w:p>
        </w:tc>
        <w:tc>
          <w:tcPr>
            <w:tcW w:w="1601" w:type="dxa"/>
            <w:shd w:val="clear" w:color="auto" w:fill="D9D9D9" w:themeFill="background1" w:themeFillShade="D9"/>
          </w:tcPr>
          <w:p w:rsidR="00587108" w:rsidRDefault="00587108" w:rsidP="00C739C1">
            <w:r>
              <w:t>Odgovornost za sprovođenje</w:t>
            </w:r>
          </w:p>
        </w:tc>
      </w:tr>
      <w:tr w:rsidR="006A3A41" w:rsidTr="002A4165">
        <w:tc>
          <w:tcPr>
            <w:tcW w:w="3369" w:type="dxa"/>
            <w:shd w:val="clear" w:color="auto" w:fill="FFFFFF" w:themeFill="background1"/>
          </w:tcPr>
          <w:p w:rsidR="005E2A88" w:rsidRPr="003408F1" w:rsidRDefault="005E2A88" w:rsidP="007124B0">
            <w:pPr>
              <w:rPr>
                <w:lang w:val="bs-Latn-BA"/>
              </w:rPr>
            </w:pPr>
            <w:r>
              <w:rPr>
                <w:lang w:val="bs-Latn-BA"/>
              </w:rPr>
              <w:t xml:space="preserve">2.1 </w:t>
            </w:r>
            <w:r w:rsidRPr="003408F1">
              <w:rPr>
                <w:lang w:val="bs-Latn-BA"/>
              </w:rPr>
              <w:t xml:space="preserve">Mentorska podrška poljoprivrednicima i prerađivačima hrane </w:t>
            </w:r>
          </w:p>
        </w:tc>
        <w:tc>
          <w:tcPr>
            <w:tcW w:w="1701" w:type="dxa"/>
            <w:shd w:val="clear" w:color="auto" w:fill="FFFFFF" w:themeFill="background1"/>
          </w:tcPr>
          <w:p w:rsidR="005E2A88" w:rsidRPr="003408F1" w:rsidRDefault="005E2A88" w:rsidP="007124B0">
            <w:pPr>
              <w:rPr>
                <w:lang w:val="bs-Latn-BA"/>
              </w:rPr>
            </w:pPr>
            <w:r w:rsidRPr="003408F1">
              <w:rPr>
                <w:lang w:val="bs-Latn-BA"/>
              </w:rPr>
              <w:t xml:space="preserve">Poljoprivrednici </w:t>
            </w:r>
          </w:p>
        </w:tc>
        <w:tc>
          <w:tcPr>
            <w:tcW w:w="1275" w:type="dxa"/>
            <w:shd w:val="clear" w:color="auto" w:fill="FFFFFF" w:themeFill="background1"/>
          </w:tcPr>
          <w:p w:rsidR="005E2A88" w:rsidRPr="003408F1" w:rsidRDefault="009A0456" w:rsidP="007124B0">
            <w:pPr>
              <w:rPr>
                <w:lang w:val="bs-Latn-BA"/>
              </w:rPr>
            </w:pPr>
            <w:r>
              <w:rPr>
                <w:lang w:val="bs-Latn-BA"/>
              </w:rPr>
              <w:t>10</w:t>
            </w:r>
          </w:p>
        </w:tc>
        <w:tc>
          <w:tcPr>
            <w:tcW w:w="1701" w:type="dxa"/>
            <w:shd w:val="clear" w:color="auto" w:fill="FFFFFF" w:themeFill="background1"/>
          </w:tcPr>
          <w:p w:rsidR="005E2A88" w:rsidRPr="003408F1" w:rsidRDefault="005E2A88" w:rsidP="006A3A41">
            <w:pPr>
              <w:rPr>
                <w:lang w:val="bs-Latn-BA"/>
              </w:rPr>
            </w:pPr>
            <w:r>
              <w:rPr>
                <w:lang w:val="bs-Latn-BA"/>
              </w:rPr>
              <w:t xml:space="preserve">Razvoj i povećanje </w:t>
            </w:r>
            <w:r w:rsidR="006A3A41">
              <w:rPr>
                <w:lang w:val="bs-Latn-BA"/>
              </w:rPr>
              <w:t>zapošljavanja kroz  primarnu</w:t>
            </w:r>
            <w:r>
              <w:rPr>
                <w:lang w:val="bs-Latn-BA"/>
              </w:rPr>
              <w:t xml:space="preserve"> poljoprivredn</w:t>
            </w:r>
            <w:r w:rsidR="006A3A41">
              <w:rPr>
                <w:lang w:val="bs-Latn-BA"/>
              </w:rPr>
              <w:t>u</w:t>
            </w:r>
            <w:r>
              <w:rPr>
                <w:lang w:val="bs-Latn-BA"/>
              </w:rPr>
              <w:t xml:space="preserve"> proizvodnj</w:t>
            </w:r>
            <w:r w:rsidR="006A3A41">
              <w:rPr>
                <w:lang w:val="bs-Latn-BA"/>
              </w:rPr>
              <w:t>u i preradu</w:t>
            </w:r>
            <w:r w:rsidRPr="003408F1">
              <w:rPr>
                <w:lang w:val="bs-Latn-BA"/>
              </w:rPr>
              <w:t xml:space="preserve"> </w:t>
            </w:r>
          </w:p>
        </w:tc>
        <w:tc>
          <w:tcPr>
            <w:tcW w:w="1413" w:type="dxa"/>
            <w:shd w:val="clear" w:color="auto" w:fill="FFFFFF" w:themeFill="background1"/>
          </w:tcPr>
          <w:p w:rsidR="005E2A88" w:rsidRPr="003408F1" w:rsidRDefault="009D6516" w:rsidP="007124B0">
            <w:pPr>
              <w:rPr>
                <w:lang w:val="bs-Latn-BA"/>
              </w:rPr>
            </w:pPr>
            <w:r>
              <w:rPr>
                <w:lang w:val="bs-Latn-BA"/>
              </w:rPr>
              <w:t>1.000</w:t>
            </w:r>
            <w:r w:rsidR="005E2A88">
              <w:rPr>
                <w:lang w:val="bs-Latn-BA"/>
              </w:rPr>
              <w:t xml:space="preserve"> EUR</w:t>
            </w:r>
          </w:p>
        </w:tc>
        <w:tc>
          <w:tcPr>
            <w:tcW w:w="1989" w:type="dxa"/>
            <w:shd w:val="clear" w:color="auto" w:fill="FFFFFF" w:themeFill="background1"/>
          </w:tcPr>
          <w:p w:rsidR="005E2A88" w:rsidRDefault="005E2A88" w:rsidP="007124B0">
            <w:r>
              <w:t>Budžet Sekretarijata za preduzetništvo</w:t>
            </w:r>
          </w:p>
        </w:tc>
        <w:tc>
          <w:tcPr>
            <w:tcW w:w="1405" w:type="dxa"/>
            <w:shd w:val="clear" w:color="auto" w:fill="FFFFFF" w:themeFill="background1"/>
          </w:tcPr>
          <w:p w:rsidR="005E2A88" w:rsidRPr="003408F1" w:rsidRDefault="005E2A88" w:rsidP="007124B0">
            <w:pPr>
              <w:rPr>
                <w:lang w:val="bs-Latn-BA"/>
              </w:rPr>
            </w:pPr>
            <w:r>
              <w:rPr>
                <w:lang w:val="bs-Latn-BA"/>
              </w:rPr>
              <w:t>Tokom cijele godine</w:t>
            </w:r>
            <w:r w:rsidRPr="003408F1">
              <w:rPr>
                <w:lang w:val="bs-Latn-BA"/>
              </w:rPr>
              <w:t xml:space="preserve"> </w:t>
            </w:r>
          </w:p>
        </w:tc>
        <w:tc>
          <w:tcPr>
            <w:tcW w:w="1601" w:type="dxa"/>
            <w:shd w:val="clear" w:color="auto" w:fill="FFFFFF" w:themeFill="background1"/>
          </w:tcPr>
          <w:p w:rsidR="005E2A88" w:rsidRPr="003408F1" w:rsidRDefault="005E2A88" w:rsidP="007124B0">
            <w:pPr>
              <w:rPr>
                <w:lang w:val="bs-Latn-BA"/>
              </w:rPr>
            </w:pPr>
            <w:r>
              <w:rPr>
                <w:lang w:val="bs-Latn-BA"/>
              </w:rPr>
              <w:t>Sekretarijat za preduzetništvo, Odjeljenje za poljoprivredu</w:t>
            </w:r>
            <w:r w:rsidRPr="003408F1">
              <w:rPr>
                <w:lang w:val="bs-Latn-BA"/>
              </w:rPr>
              <w:t xml:space="preserve"> </w:t>
            </w:r>
          </w:p>
        </w:tc>
      </w:tr>
      <w:tr w:rsidR="006A3A41" w:rsidTr="002A4165">
        <w:tc>
          <w:tcPr>
            <w:tcW w:w="3369" w:type="dxa"/>
            <w:shd w:val="clear" w:color="auto" w:fill="FFFFFF" w:themeFill="background1"/>
          </w:tcPr>
          <w:p w:rsidR="005E2A88" w:rsidRPr="003408F1" w:rsidRDefault="005E2A88" w:rsidP="007124B0">
            <w:pPr>
              <w:rPr>
                <w:lang w:val="bs-Latn-BA"/>
              </w:rPr>
            </w:pPr>
            <w:r>
              <w:rPr>
                <w:lang w:val="bs-Latn-BA"/>
              </w:rPr>
              <w:t xml:space="preserve">2.2 </w:t>
            </w:r>
            <w:r w:rsidRPr="003408F1">
              <w:rPr>
                <w:lang w:val="bs-Latn-BA"/>
              </w:rPr>
              <w:t xml:space="preserve">Mikro-krediti </w:t>
            </w:r>
          </w:p>
        </w:tc>
        <w:tc>
          <w:tcPr>
            <w:tcW w:w="1701" w:type="dxa"/>
            <w:shd w:val="clear" w:color="auto" w:fill="FFFFFF" w:themeFill="background1"/>
          </w:tcPr>
          <w:p w:rsidR="005E2A88" w:rsidRPr="003408F1" w:rsidRDefault="005E2A88" w:rsidP="007124B0">
            <w:pPr>
              <w:rPr>
                <w:lang w:val="bs-Latn-BA"/>
              </w:rPr>
            </w:pPr>
            <w:r w:rsidRPr="003408F1">
              <w:rPr>
                <w:lang w:val="bs-Latn-BA"/>
              </w:rPr>
              <w:t xml:space="preserve">Preduzetnici </w:t>
            </w:r>
          </w:p>
        </w:tc>
        <w:tc>
          <w:tcPr>
            <w:tcW w:w="1275" w:type="dxa"/>
            <w:shd w:val="clear" w:color="auto" w:fill="FFFFFF" w:themeFill="background1"/>
          </w:tcPr>
          <w:p w:rsidR="005E2A88" w:rsidRPr="003408F1" w:rsidRDefault="009A0456" w:rsidP="007124B0">
            <w:pPr>
              <w:rPr>
                <w:lang w:val="bs-Latn-BA"/>
              </w:rPr>
            </w:pPr>
            <w:r>
              <w:rPr>
                <w:lang w:val="bs-Latn-BA"/>
              </w:rPr>
              <w:t>10</w:t>
            </w:r>
          </w:p>
        </w:tc>
        <w:tc>
          <w:tcPr>
            <w:tcW w:w="1701" w:type="dxa"/>
            <w:shd w:val="clear" w:color="auto" w:fill="FFFFFF" w:themeFill="background1"/>
          </w:tcPr>
          <w:p w:rsidR="005E2A88" w:rsidRPr="003408F1" w:rsidRDefault="006A3A41" w:rsidP="006A3A41">
            <w:pPr>
              <w:rPr>
                <w:lang w:val="bs-Latn-BA"/>
              </w:rPr>
            </w:pPr>
            <w:r>
              <w:rPr>
                <w:lang w:val="bs-Latn-BA"/>
              </w:rPr>
              <w:t>Osnovano najmanje 10 i razvijeno najmanje 8</w:t>
            </w:r>
            <w:r w:rsidR="005E2A88" w:rsidRPr="003408F1">
              <w:rPr>
                <w:lang w:val="bs-Latn-BA"/>
              </w:rPr>
              <w:t xml:space="preserve"> </w:t>
            </w:r>
            <w:r>
              <w:rPr>
                <w:lang w:val="bs-Latn-BA"/>
              </w:rPr>
              <w:t>preduzetnika</w:t>
            </w:r>
          </w:p>
        </w:tc>
        <w:tc>
          <w:tcPr>
            <w:tcW w:w="1413" w:type="dxa"/>
            <w:shd w:val="clear" w:color="auto" w:fill="FFFFFF" w:themeFill="background1"/>
          </w:tcPr>
          <w:p w:rsidR="005E2A88" w:rsidRPr="003408F1" w:rsidRDefault="009D6516" w:rsidP="005E2A88">
            <w:pPr>
              <w:rPr>
                <w:lang w:val="bs-Latn-BA"/>
              </w:rPr>
            </w:pPr>
            <w:r>
              <w:rPr>
                <w:lang w:val="bs-Latn-BA"/>
              </w:rPr>
              <w:t xml:space="preserve">30.000 </w:t>
            </w:r>
            <w:r w:rsidR="005E2A88">
              <w:rPr>
                <w:lang w:val="bs-Latn-BA"/>
              </w:rPr>
              <w:t>EUR</w:t>
            </w:r>
          </w:p>
        </w:tc>
        <w:tc>
          <w:tcPr>
            <w:tcW w:w="1989" w:type="dxa"/>
            <w:shd w:val="clear" w:color="auto" w:fill="FFFFFF" w:themeFill="background1"/>
          </w:tcPr>
          <w:p w:rsidR="005E2A88" w:rsidRPr="003408F1" w:rsidRDefault="005E2A88" w:rsidP="007124B0">
            <w:pPr>
              <w:rPr>
                <w:lang w:val="bs-Latn-BA"/>
              </w:rPr>
            </w:pPr>
            <w:r>
              <w:t>Budžet Sekretarijata za preduzetništvo</w:t>
            </w:r>
          </w:p>
        </w:tc>
        <w:tc>
          <w:tcPr>
            <w:tcW w:w="1405" w:type="dxa"/>
            <w:shd w:val="clear" w:color="auto" w:fill="FFFFFF" w:themeFill="background1"/>
          </w:tcPr>
          <w:p w:rsidR="005E2A88" w:rsidRPr="003408F1" w:rsidRDefault="005E2A88" w:rsidP="007124B0">
            <w:pPr>
              <w:rPr>
                <w:lang w:val="bs-Latn-BA"/>
              </w:rPr>
            </w:pPr>
            <w:r>
              <w:rPr>
                <w:lang w:val="bs-Latn-BA"/>
              </w:rPr>
              <w:t>III i IV kvartal</w:t>
            </w:r>
            <w:r w:rsidRPr="003408F1">
              <w:rPr>
                <w:lang w:val="bs-Latn-BA"/>
              </w:rPr>
              <w:t xml:space="preserve"> </w:t>
            </w:r>
          </w:p>
        </w:tc>
        <w:tc>
          <w:tcPr>
            <w:tcW w:w="1601" w:type="dxa"/>
            <w:shd w:val="clear" w:color="auto" w:fill="FFFFFF" w:themeFill="background1"/>
          </w:tcPr>
          <w:p w:rsidR="005E2A88" w:rsidRPr="003408F1" w:rsidRDefault="005E2A88" w:rsidP="007124B0">
            <w:pPr>
              <w:rPr>
                <w:lang w:val="bs-Latn-BA"/>
              </w:rPr>
            </w:pPr>
            <w:r>
              <w:rPr>
                <w:lang w:val="bs-Latn-BA"/>
              </w:rPr>
              <w:t>Sekretarijat za preduzetništvo</w:t>
            </w:r>
          </w:p>
        </w:tc>
      </w:tr>
      <w:tr w:rsidR="006A3A41" w:rsidTr="002A4165">
        <w:tc>
          <w:tcPr>
            <w:tcW w:w="3369" w:type="dxa"/>
            <w:shd w:val="clear" w:color="auto" w:fill="FFFFFF" w:themeFill="background1"/>
          </w:tcPr>
          <w:p w:rsidR="005E2A88" w:rsidRPr="003408F1" w:rsidRDefault="005E2A88" w:rsidP="007124B0">
            <w:pPr>
              <w:rPr>
                <w:lang w:val="bs-Latn-BA"/>
              </w:rPr>
            </w:pPr>
            <w:r>
              <w:rPr>
                <w:lang w:val="bs-Latn-BA"/>
              </w:rPr>
              <w:t xml:space="preserve">2.3 </w:t>
            </w:r>
            <w:r w:rsidRPr="003408F1">
              <w:rPr>
                <w:lang w:val="bs-Latn-BA"/>
              </w:rPr>
              <w:t xml:space="preserve">Ustupanje zemljišta za poljoprivrednike </w:t>
            </w:r>
          </w:p>
        </w:tc>
        <w:tc>
          <w:tcPr>
            <w:tcW w:w="1701" w:type="dxa"/>
            <w:shd w:val="clear" w:color="auto" w:fill="FFFFFF" w:themeFill="background1"/>
          </w:tcPr>
          <w:p w:rsidR="005E2A88" w:rsidRPr="003408F1" w:rsidRDefault="005E2A88" w:rsidP="007124B0">
            <w:pPr>
              <w:rPr>
                <w:iCs/>
                <w:color w:val="FF0000"/>
                <w:lang w:val="bs-Latn-BA"/>
              </w:rPr>
            </w:pPr>
            <w:r w:rsidRPr="003408F1">
              <w:rPr>
                <w:iCs/>
                <w:lang w:val="bs-Latn-BA"/>
              </w:rPr>
              <w:t xml:space="preserve">Poljoprivrednici </w:t>
            </w:r>
          </w:p>
        </w:tc>
        <w:tc>
          <w:tcPr>
            <w:tcW w:w="1275" w:type="dxa"/>
            <w:shd w:val="clear" w:color="auto" w:fill="FFFFFF" w:themeFill="background1"/>
          </w:tcPr>
          <w:p w:rsidR="005E2A88" w:rsidRPr="003408F1" w:rsidRDefault="009A0456" w:rsidP="007124B0">
            <w:pPr>
              <w:rPr>
                <w:lang w:val="bs-Latn-BA"/>
              </w:rPr>
            </w:pPr>
            <w:r>
              <w:rPr>
                <w:lang w:val="bs-Latn-BA"/>
              </w:rPr>
              <w:t>5</w:t>
            </w:r>
          </w:p>
        </w:tc>
        <w:tc>
          <w:tcPr>
            <w:tcW w:w="1701" w:type="dxa"/>
            <w:shd w:val="clear" w:color="auto" w:fill="FFFFFF" w:themeFill="background1"/>
          </w:tcPr>
          <w:p w:rsidR="005E2A88" w:rsidRPr="003408F1" w:rsidRDefault="006A3A41" w:rsidP="007124B0">
            <w:pPr>
              <w:rPr>
                <w:lang w:val="bs-Latn-BA"/>
              </w:rPr>
            </w:pPr>
            <w:r>
              <w:rPr>
                <w:lang w:val="bs-Latn-BA"/>
              </w:rPr>
              <w:t xml:space="preserve">Rad najmanje 5 </w:t>
            </w:r>
            <w:r w:rsidR="005E2A88">
              <w:rPr>
                <w:lang w:val="bs-Latn-BA"/>
              </w:rPr>
              <w:t>novih poljoprivrednih gazdinstava ili preduzeća</w:t>
            </w:r>
            <w:r w:rsidR="005E2A88" w:rsidRPr="003408F1">
              <w:rPr>
                <w:lang w:val="bs-Latn-BA"/>
              </w:rPr>
              <w:t xml:space="preserve"> </w:t>
            </w:r>
          </w:p>
        </w:tc>
        <w:tc>
          <w:tcPr>
            <w:tcW w:w="1413" w:type="dxa"/>
            <w:shd w:val="clear" w:color="auto" w:fill="FFFFFF" w:themeFill="background1"/>
          </w:tcPr>
          <w:p w:rsidR="005E2A88" w:rsidRPr="003408F1" w:rsidRDefault="005E2A88" w:rsidP="007124B0">
            <w:pPr>
              <w:rPr>
                <w:iCs/>
                <w:color w:val="FF0000"/>
                <w:lang w:val="bs-Latn-BA"/>
              </w:rPr>
            </w:pPr>
            <w:r>
              <w:rPr>
                <w:iCs/>
                <w:lang w:val="bs-Latn-BA"/>
              </w:rPr>
              <w:t>Nisu potrebna sredstva</w:t>
            </w:r>
            <w:r w:rsidRPr="003408F1">
              <w:rPr>
                <w:iCs/>
                <w:lang w:val="bs-Latn-BA"/>
              </w:rPr>
              <w:t xml:space="preserve"> </w:t>
            </w:r>
          </w:p>
        </w:tc>
        <w:tc>
          <w:tcPr>
            <w:tcW w:w="1989" w:type="dxa"/>
            <w:shd w:val="clear" w:color="auto" w:fill="FFFFFF" w:themeFill="background1"/>
          </w:tcPr>
          <w:p w:rsidR="005E2A88" w:rsidRPr="003408F1" w:rsidRDefault="005E2A88" w:rsidP="007124B0">
            <w:pPr>
              <w:rPr>
                <w:lang w:val="bs-Latn-BA"/>
              </w:rPr>
            </w:pPr>
            <w:r w:rsidRPr="003408F1">
              <w:rPr>
                <w:lang w:val="bs-Latn-BA"/>
              </w:rPr>
              <w:t>2021-2025.</w:t>
            </w:r>
          </w:p>
        </w:tc>
        <w:tc>
          <w:tcPr>
            <w:tcW w:w="1405" w:type="dxa"/>
            <w:shd w:val="clear" w:color="auto" w:fill="FFFFFF" w:themeFill="background1"/>
          </w:tcPr>
          <w:p w:rsidR="005E2A88" w:rsidRPr="003408F1" w:rsidRDefault="005E2A88" w:rsidP="007124B0">
            <w:pPr>
              <w:rPr>
                <w:lang w:val="bs-Latn-BA"/>
              </w:rPr>
            </w:pPr>
            <w:r>
              <w:rPr>
                <w:lang w:val="bs-Latn-BA"/>
              </w:rPr>
              <w:t>Tokom cijele godine</w:t>
            </w:r>
          </w:p>
        </w:tc>
        <w:tc>
          <w:tcPr>
            <w:tcW w:w="1601" w:type="dxa"/>
            <w:shd w:val="clear" w:color="auto" w:fill="FFFFFF" w:themeFill="background1"/>
          </w:tcPr>
          <w:p w:rsidR="005E2A88" w:rsidRPr="003408F1" w:rsidRDefault="005E2A88" w:rsidP="007124B0">
            <w:pPr>
              <w:rPr>
                <w:iCs/>
                <w:color w:val="FF0000"/>
                <w:lang w:val="bs-Latn-BA"/>
              </w:rPr>
            </w:pPr>
            <w:r>
              <w:rPr>
                <w:lang w:val="bs-Latn-BA"/>
              </w:rPr>
              <w:t>Sekretarijat za preduzetništvo, Odjeljenje za poljoprivredu</w:t>
            </w:r>
          </w:p>
        </w:tc>
      </w:tr>
      <w:tr w:rsidR="00473431" w:rsidTr="003F2FAA">
        <w:tc>
          <w:tcPr>
            <w:tcW w:w="14454" w:type="dxa"/>
            <w:gridSpan w:val="8"/>
            <w:shd w:val="clear" w:color="auto" w:fill="FFFFFF" w:themeFill="background1"/>
          </w:tcPr>
          <w:p w:rsidR="00473431" w:rsidRPr="002A4165" w:rsidRDefault="00473431" w:rsidP="007124B0">
            <w:pPr>
              <w:rPr>
                <w:strike/>
                <w:lang w:val="bs-Latn-BA"/>
              </w:rPr>
            </w:pPr>
            <w:r w:rsidRPr="00B35D8D">
              <w:rPr>
                <w:lang w:val="bs-Latn-BA"/>
              </w:rPr>
              <w:lastRenderedPageBreak/>
              <w:t xml:space="preserve">2.4 Nefiskalna pomoć početnicima u biznisu </w:t>
            </w:r>
          </w:p>
        </w:tc>
      </w:tr>
      <w:tr w:rsidR="006A3A41" w:rsidTr="002A4165">
        <w:tc>
          <w:tcPr>
            <w:tcW w:w="3369" w:type="dxa"/>
            <w:shd w:val="clear" w:color="auto" w:fill="FFFFFF" w:themeFill="background1"/>
          </w:tcPr>
          <w:p w:rsidR="008C4DD9" w:rsidRPr="009A0456" w:rsidRDefault="008C4DD9" w:rsidP="008C4DD9">
            <w:pPr>
              <w:rPr>
                <w:lang w:val="bs-Latn-BA"/>
              </w:rPr>
            </w:pPr>
            <w:r w:rsidRPr="009A0456">
              <w:rPr>
                <w:lang w:val="bs-Latn-BA"/>
              </w:rPr>
              <w:t>2.4.1 Savjetovanje</w:t>
            </w:r>
          </w:p>
        </w:tc>
        <w:tc>
          <w:tcPr>
            <w:tcW w:w="1701" w:type="dxa"/>
            <w:shd w:val="clear" w:color="auto" w:fill="FFFFFF" w:themeFill="background1"/>
          </w:tcPr>
          <w:p w:rsidR="008C4DD9" w:rsidRPr="003408F1" w:rsidRDefault="008C4DD9" w:rsidP="008C4DD9">
            <w:pPr>
              <w:rPr>
                <w:lang w:val="bs-Latn-BA"/>
              </w:rPr>
            </w:pPr>
            <w:r w:rsidRPr="003408F1">
              <w:rPr>
                <w:lang w:val="bs-Latn-BA"/>
              </w:rPr>
              <w:t>Početnici u biznisu</w:t>
            </w:r>
          </w:p>
        </w:tc>
        <w:tc>
          <w:tcPr>
            <w:tcW w:w="1275" w:type="dxa"/>
            <w:shd w:val="clear" w:color="auto" w:fill="FFFFFF" w:themeFill="background1"/>
          </w:tcPr>
          <w:p w:rsidR="008C4DD9" w:rsidRPr="003408F1" w:rsidRDefault="009A0456" w:rsidP="008C4DD9">
            <w:pPr>
              <w:rPr>
                <w:lang w:val="bs-Latn-BA"/>
              </w:rPr>
            </w:pPr>
            <w:r>
              <w:rPr>
                <w:lang w:val="bs-Latn-BA"/>
              </w:rPr>
              <w:t>10</w:t>
            </w:r>
          </w:p>
        </w:tc>
        <w:tc>
          <w:tcPr>
            <w:tcW w:w="1701" w:type="dxa"/>
            <w:shd w:val="clear" w:color="auto" w:fill="FFFFFF" w:themeFill="background1"/>
          </w:tcPr>
          <w:p w:rsidR="008C4DD9" w:rsidRDefault="009A0456" w:rsidP="008C4DD9">
            <w:pPr>
              <w:rPr>
                <w:lang w:val="bs-Latn-BA"/>
              </w:rPr>
            </w:pPr>
            <w:r>
              <w:rPr>
                <w:lang w:val="bs-Latn-BA"/>
              </w:rPr>
              <w:t>Unapređenje i razvoj start-up preduzeća</w:t>
            </w:r>
          </w:p>
        </w:tc>
        <w:tc>
          <w:tcPr>
            <w:tcW w:w="1413" w:type="dxa"/>
            <w:shd w:val="clear" w:color="auto" w:fill="FFFFFF" w:themeFill="background1"/>
          </w:tcPr>
          <w:p w:rsidR="008C4DD9" w:rsidRDefault="009D6516" w:rsidP="008C4DD9">
            <w:pPr>
              <w:rPr>
                <w:lang w:val="bs-Latn-BA"/>
              </w:rPr>
            </w:pPr>
            <w:r w:rsidRPr="009D6516">
              <w:rPr>
                <w:lang w:val="bs-Latn-BA"/>
              </w:rPr>
              <w:t>Nisu potrebna sredstva</w:t>
            </w:r>
          </w:p>
        </w:tc>
        <w:tc>
          <w:tcPr>
            <w:tcW w:w="1989" w:type="dxa"/>
            <w:shd w:val="clear" w:color="auto" w:fill="FFFFFF" w:themeFill="background1"/>
          </w:tcPr>
          <w:p w:rsidR="008C4DD9" w:rsidRDefault="008C4DD9" w:rsidP="008C4DD9">
            <w:r w:rsidRPr="003F651E">
              <w:t>Budžet Sekretarijata za preduzetništvo</w:t>
            </w:r>
          </w:p>
        </w:tc>
        <w:tc>
          <w:tcPr>
            <w:tcW w:w="1405" w:type="dxa"/>
            <w:shd w:val="clear" w:color="auto" w:fill="FFFFFF" w:themeFill="background1"/>
          </w:tcPr>
          <w:p w:rsidR="008C4DD9" w:rsidRDefault="008C4DD9" w:rsidP="008C4DD9">
            <w:pPr>
              <w:rPr>
                <w:lang w:val="bs-Latn-BA"/>
              </w:rPr>
            </w:pPr>
            <w:r>
              <w:rPr>
                <w:lang w:val="bs-Latn-BA"/>
              </w:rPr>
              <w:t>Tokom cijele godine</w:t>
            </w:r>
          </w:p>
        </w:tc>
        <w:tc>
          <w:tcPr>
            <w:tcW w:w="1601" w:type="dxa"/>
            <w:shd w:val="clear" w:color="auto" w:fill="FFFFFF" w:themeFill="background1"/>
          </w:tcPr>
          <w:p w:rsidR="008C4DD9" w:rsidRDefault="008C4DD9" w:rsidP="008C4DD9">
            <w:pPr>
              <w:rPr>
                <w:lang w:val="bs-Latn-BA"/>
              </w:rPr>
            </w:pPr>
            <w:r>
              <w:rPr>
                <w:lang w:val="bs-Latn-BA"/>
              </w:rPr>
              <w:t>Sekretarijat za preduzetništvo</w:t>
            </w:r>
          </w:p>
        </w:tc>
      </w:tr>
      <w:tr w:rsidR="006A3A41" w:rsidTr="002A4165">
        <w:tc>
          <w:tcPr>
            <w:tcW w:w="3369" w:type="dxa"/>
            <w:shd w:val="clear" w:color="auto" w:fill="FFFFFF" w:themeFill="background1"/>
          </w:tcPr>
          <w:p w:rsidR="008C4DD9" w:rsidRPr="009A0456" w:rsidRDefault="008C4DD9" w:rsidP="008C4DD9">
            <w:pPr>
              <w:rPr>
                <w:lang w:val="bs-Latn-BA"/>
              </w:rPr>
            </w:pPr>
            <w:r w:rsidRPr="009A0456">
              <w:rPr>
                <w:lang w:val="bs-Latn-BA"/>
              </w:rPr>
              <w:t>2.4.2 Mentorska podrška</w:t>
            </w:r>
          </w:p>
        </w:tc>
        <w:tc>
          <w:tcPr>
            <w:tcW w:w="1701" w:type="dxa"/>
            <w:shd w:val="clear" w:color="auto" w:fill="FFFFFF" w:themeFill="background1"/>
          </w:tcPr>
          <w:p w:rsidR="008C4DD9" w:rsidRPr="003408F1" w:rsidRDefault="008C4DD9" w:rsidP="008C4DD9">
            <w:pPr>
              <w:rPr>
                <w:lang w:val="bs-Latn-BA"/>
              </w:rPr>
            </w:pPr>
            <w:r w:rsidRPr="003408F1">
              <w:rPr>
                <w:lang w:val="bs-Latn-BA"/>
              </w:rPr>
              <w:t>Početnici u biznisu</w:t>
            </w:r>
          </w:p>
        </w:tc>
        <w:tc>
          <w:tcPr>
            <w:tcW w:w="1275" w:type="dxa"/>
            <w:shd w:val="clear" w:color="auto" w:fill="FFFFFF" w:themeFill="background1"/>
          </w:tcPr>
          <w:p w:rsidR="008C4DD9" w:rsidRPr="003408F1" w:rsidRDefault="009A0456" w:rsidP="008C4DD9">
            <w:pPr>
              <w:rPr>
                <w:lang w:val="bs-Latn-BA"/>
              </w:rPr>
            </w:pPr>
            <w:r>
              <w:rPr>
                <w:lang w:val="bs-Latn-BA"/>
              </w:rPr>
              <w:t>10</w:t>
            </w:r>
          </w:p>
        </w:tc>
        <w:tc>
          <w:tcPr>
            <w:tcW w:w="1701" w:type="dxa"/>
            <w:shd w:val="clear" w:color="auto" w:fill="FFFFFF" w:themeFill="background1"/>
          </w:tcPr>
          <w:p w:rsidR="008C4DD9" w:rsidRDefault="009A0456" w:rsidP="008C4DD9">
            <w:pPr>
              <w:rPr>
                <w:lang w:val="bs-Latn-BA"/>
              </w:rPr>
            </w:pPr>
            <w:r>
              <w:rPr>
                <w:lang w:val="bs-Latn-BA"/>
              </w:rPr>
              <w:t>Unapređenje i razvoj start-up preduzeća</w:t>
            </w:r>
          </w:p>
        </w:tc>
        <w:tc>
          <w:tcPr>
            <w:tcW w:w="1413" w:type="dxa"/>
            <w:shd w:val="clear" w:color="auto" w:fill="FFFFFF" w:themeFill="background1"/>
          </w:tcPr>
          <w:p w:rsidR="008C4DD9" w:rsidRDefault="009D6516" w:rsidP="008C4DD9">
            <w:pPr>
              <w:rPr>
                <w:lang w:val="bs-Latn-BA"/>
              </w:rPr>
            </w:pPr>
            <w:r w:rsidRPr="009D6516">
              <w:rPr>
                <w:lang w:val="bs-Latn-BA"/>
              </w:rPr>
              <w:t>Nisu potrebna sredstva</w:t>
            </w:r>
          </w:p>
        </w:tc>
        <w:tc>
          <w:tcPr>
            <w:tcW w:w="1989" w:type="dxa"/>
            <w:shd w:val="clear" w:color="auto" w:fill="FFFFFF" w:themeFill="background1"/>
          </w:tcPr>
          <w:p w:rsidR="008C4DD9" w:rsidRDefault="008C4DD9" w:rsidP="008C4DD9">
            <w:r w:rsidRPr="003F651E">
              <w:t>Budžet Sekretarijata za preduzetništvo</w:t>
            </w:r>
          </w:p>
        </w:tc>
        <w:tc>
          <w:tcPr>
            <w:tcW w:w="1405" w:type="dxa"/>
            <w:shd w:val="clear" w:color="auto" w:fill="FFFFFF" w:themeFill="background1"/>
          </w:tcPr>
          <w:p w:rsidR="008C4DD9" w:rsidRDefault="008C4DD9" w:rsidP="008C4DD9">
            <w:pPr>
              <w:rPr>
                <w:lang w:val="bs-Latn-BA"/>
              </w:rPr>
            </w:pPr>
            <w:r>
              <w:rPr>
                <w:lang w:val="bs-Latn-BA"/>
              </w:rPr>
              <w:t>Tokom cijele godine</w:t>
            </w:r>
          </w:p>
        </w:tc>
        <w:tc>
          <w:tcPr>
            <w:tcW w:w="1601" w:type="dxa"/>
            <w:shd w:val="clear" w:color="auto" w:fill="FFFFFF" w:themeFill="background1"/>
          </w:tcPr>
          <w:p w:rsidR="008C4DD9" w:rsidRDefault="008C4DD9" w:rsidP="008C4DD9">
            <w:pPr>
              <w:rPr>
                <w:lang w:val="bs-Latn-BA"/>
              </w:rPr>
            </w:pPr>
            <w:r>
              <w:rPr>
                <w:lang w:val="bs-Latn-BA"/>
              </w:rPr>
              <w:t>Sekretarijat za preduzetništvo</w:t>
            </w:r>
          </w:p>
        </w:tc>
      </w:tr>
      <w:tr w:rsidR="006A3A41" w:rsidTr="002A4165">
        <w:tc>
          <w:tcPr>
            <w:tcW w:w="3369" w:type="dxa"/>
            <w:shd w:val="clear" w:color="auto" w:fill="FFFFFF" w:themeFill="background1"/>
          </w:tcPr>
          <w:p w:rsidR="008C4DD9" w:rsidRPr="009A0456" w:rsidRDefault="008C4DD9" w:rsidP="008C4DD9">
            <w:pPr>
              <w:rPr>
                <w:lang w:val="bs-Latn-BA"/>
              </w:rPr>
            </w:pPr>
            <w:r w:rsidRPr="009A0456">
              <w:rPr>
                <w:lang w:val="bs-Latn-BA"/>
              </w:rPr>
              <w:t>2.4.3 Besplatno knjigovodstvo i računovodstvo</w:t>
            </w:r>
          </w:p>
        </w:tc>
        <w:tc>
          <w:tcPr>
            <w:tcW w:w="1701" w:type="dxa"/>
            <w:shd w:val="clear" w:color="auto" w:fill="FFFFFF" w:themeFill="background1"/>
          </w:tcPr>
          <w:p w:rsidR="008C4DD9" w:rsidRPr="003408F1" w:rsidRDefault="008C4DD9" w:rsidP="008C4DD9">
            <w:pPr>
              <w:rPr>
                <w:lang w:val="bs-Latn-BA"/>
              </w:rPr>
            </w:pPr>
            <w:r w:rsidRPr="003408F1">
              <w:rPr>
                <w:lang w:val="bs-Latn-BA"/>
              </w:rPr>
              <w:t>Početnici u biznisu</w:t>
            </w:r>
          </w:p>
        </w:tc>
        <w:tc>
          <w:tcPr>
            <w:tcW w:w="1275" w:type="dxa"/>
            <w:shd w:val="clear" w:color="auto" w:fill="FFFFFF" w:themeFill="background1"/>
          </w:tcPr>
          <w:p w:rsidR="008C4DD9" w:rsidRPr="003408F1" w:rsidRDefault="009A0456" w:rsidP="008C4DD9">
            <w:pPr>
              <w:rPr>
                <w:lang w:val="bs-Latn-BA"/>
              </w:rPr>
            </w:pPr>
            <w:r>
              <w:rPr>
                <w:lang w:val="bs-Latn-BA"/>
              </w:rPr>
              <w:t>20</w:t>
            </w:r>
          </w:p>
        </w:tc>
        <w:tc>
          <w:tcPr>
            <w:tcW w:w="1701" w:type="dxa"/>
            <w:shd w:val="clear" w:color="auto" w:fill="FFFFFF" w:themeFill="background1"/>
          </w:tcPr>
          <w:p w:rsidR="008C4DD9" w:rsidRDefault="009A0456" w:rsidP="008C4DD9">
            <w:pPr>
              <w:rPr>
                <w:lang w:val="bs-Latn-BA"/>
              </w:rPr>
            </w:pPr>
            <w:r>
              <w:rPr>
                <w:lang w:val="bs-Latn-BA"/>
              </w:rPr>
              <w:t>Unapređenje i razvoj start-up preduzeća</w:t>
            </w:r>
          </w:p>
        </w:tc>
        <w:tc>
          <w:tcPr>
            <w:tcW w:w="1413" w:type="dxa"/>
            <w:shd w:val="clear" w:color="auto" w:fill="FFFFFF" w:themeFill="background1"/>
          </w:tcPr>
          <w:p w:rsidR="008C4DD9" w:rsidRPr="009A0456" w:rsidRDefault="00473431" w:rsidP="009D6516">
            <w:pPr>
              <w:rPr>
                <w:lang w:val="bs-Latn-BA"/>
              </w:rPr>
            </w:pPr>
            <w:r w:rsidRPr="009A0456">
              <w:rPr>
                <w:lang w:val="bs-Latn-BA"/>
              </w:rPr>
              <w:t>3.000</w:t>
            </w:r>
            <w:r w:rsidR="009D6516">
              <w:rPr>
                <w:lang w:val="bs-Latn-BA"/>
              </w:rPr>
              <w:t xml:space="preserve"> </w:t>
            </w:r>
            <w:r w:rsidRPr="009A0456">
              <w:rPr>
                <w:lang w:val="bs-Latn-BA"/>
              </w:rPr>
              <w:t>EUR</w:t>
            </w:r>
          </w:p>
        </w:tc>
        <w:tc>
          <w:tcPr>
            <w:tcW w:w="1989" w:type="dxa"/>
            <w:shd w:val="clear" w:color="auto" w:fill="FFFFFF" w:themeFill="background1"/>
          </w:tcPr>
          <w:p w:rsidR="008C4DD9" w:rsidRDefault="008C4DD9" w:rsidP="008C4DD9">
            <w:r w:rsidRPr="003F651E">
              <w:t>Budžet Sekretarijata za preduzetništvo</w:t>
            </w:r>
          </w:p>
        </w:tc>
        <w:tc>
          <w:tcPr>
            <w:tcW w:w="1405" w:type="dxa"/>
            <w:shd w:val="clear" w:color="auto" w:fill="FFFFFF" w:themeFill="background1"/>
          </w:tcPr>
          <w:p w:rsidR="008C4DD9" w:rsidRDefault="008C4DD9" w:rsidP="008C4DD9">
            <w:pPr>
              <w:rPr>
                <w:lang w:val="bs-Latn-BA"/>
              </w:rPr>
            </w:pPr>
            <w:r>
              <w:rPr>
                <w:lang w:val="bs-Latn-BA"/>
              </w:rPr>
              <w:t>Tokom cijele godine</w:t>
            </w:r>
          </w:p>
        </w:tc>
        <w:tc>
          <w:tcPr>
            <w:tcW w:w="1601" w:type="dxa"/>
            <w:shd w:val="clear" w:color="auto" w:fill="FFFFFF" w:themeFill="background1"/>
          </w:tcPr>
          <w:p w:rsidR="008C4DD9" w:rsidRDefault="008C4DD9" w:rsidP="008C4DD9">
            <w:pPr>
              <w:rPr>
                <w:lang w:val="bs-Latn-BA"/>
              </w:rPr>
            </w:pPr>
            <w:r>
              <w:rPr>
                <w:lang w:val="bs-Latn-BA"/>
              </w:rPr>
              <w:t>Sekretarijat za preduzetništvo</w:t>
            </w:r>
          </w:p>
        </w:tc>
      </w:tr>
      <w:tr w:rsidR="006A3A41" w:rsidRPr="003408F1" w:rsidTr="002A4165">
        <w:tc>
          <w:tcPr>
            <w:tcW w:w="3369" w:type="dxa"/>
          </w:tcPr>
          <w:p w:rsidR="005E2A88" w:rsidRPr="003408F1" w:rsidRDefault="005E2A88" w:rsidP="007124B0">
            <w:pPr>
              <w:rPr>
                <w:lang w:val="bs-Latn-BA"/>
              </w:rPr>
            </w:pPr>
            <w:r>
              <w:rPr>
                <w:lang w:val="bs-Latn-BA"/>
              </w:rPr>
              <w:t xml:space="preserve">2.5 </w:t>
            </w:r>
            <w:r w:rsidRPr="003408F1">
              <w:rPr>
                <w:lang w:val="bs-Latn-BA"/>
              </w:rPr>
              <w:t>Podsticaj</w:t>
            </w:r>
            <w:r>
              <w:rPr>
                <w:lang w:val="bs-Latn-BA"/>
              </w:rPr>
              <w:t>i</w:t>
            </w:r>
            <w:r w:rsidRPr="003408F1">
              <w:rPr>
                <w:lang w:val="bs-Latn-BA"/>
              </w:rPr>
              <w:t xml:space="preserve"> za žensko preduzetništvo </w:t>
            </w:r>
          </w:p>
        </w:tc>
        <w:tc>
          <w:tcPr>
            <w:tcW w:w="1701" w:type="dxa"/>
          </w:tcPr>
          <w:p w:rsidR="005E2A88" w:rsidRPr="003408F1" w:rsidRDefault="005E2A88" w:rsidP="005E2A88">
            <w:pPr>
              <w:rPr>
                <w:lang w:val="bs-Latn-BA"/>
              </w:rPr>
            </w:pPr>
            <w:r w:rsidRPr="003408F1">
              <w:rPr>
                <w:lang w:val="bs-Latn-BA"/>
              </w:rPr>
              <w:t xml:space="preserve">Nezaposlene žene </w:t>
            </w:r>
            <w:r>
              <w:rPr>
                <w:lang w:val="bs-Latn-BA"/>
              </w:rPr>
              <w:t>i</w:t>
            </w:r>
            <w:r w:rsidRPr="003408F1">
              <w:rPr>
                <w:lang w:val="bs-Latn-BA"/>
              </w:rPr>
              <w:t xml:space="preserve"> preduzetnice </w:t>
            </w:r>
          </w:p>
        </w:tc>
        <w:tc>
          <w:tcPr>
            <w:tcW w:w="1275" w:type="dxa"/>
          </w:tcPr>
          <w:p w:rsidR="005E2A88" w:rsidRPr="003408F1" w:rsidRDefault="00980A75" w:rsidP="007124B0">
            <w:pPr>
              <w:rPr>
                <w:lang w:val="bs-Latn-BA"/>
              </w:rPr>
            </w:pPr>
            <w:r>
              <w:rPr>
                <w:lang w:val="bs-Latn-BA"/>
              </w:rPr>
              <w:t>10</w:t>
            </w:r>
          </w:p>
        </w:tc>
        <w:tc>
          <w:tcPr>
            <w:tcW w:w="1701" w:type="dxa"/>
          </w:tcPr>
          <w:p w:rsidR="005E2A88" w:rsidRPr="003408F1" w:rsidRDefault="005E2A88" w:rsidP="007124B0">
            <w:pPr>
              <w:rPr>
                <w:lang w:val="bs-Latn-BA"/>
              </w:rPr>
            </w:pPr>
            <w:r w:rsidRPr="003408F1">
              <w:rPr>
                <w:lang w:val="bs-Latn-BA"/>
              </w:rPr>
              <w:t>Podsticaj</w:t>
            </w:r>
            <w:r>
              <w:rPr>
                <w:lang w:val="bs-Latn-BA"/>
              </w:rPr>
              <w:t>i</w:t>
            </w:r>
            <w:r w:rsidRPr="003408F1">
              <w:rPr>
                <w:lang w:val="bs-Latn-BA"/>
              </w:rPr>
              <w:t xml:space="preserve"> za žensko preduzetništvo </w:t>
            </w:r>
          </w:p>
        </w:tc>
        <w:tc>
          <w:tcPr>
            <w:tcW w:w="1413" w:type="dxa"/>
          </w:tcPr>
          <w:p w:rsidR="005E2A88" w:rsidRPr="003408F1" w:rsidRDefault="009D6516" w:rsidP="007124B0">
            <w:pPr>
              <w:rPr>
                <w:lang w:val="bs-Latn-BA"/>
              </w:rPr>
            </w:pPr>
            <w:r>
              <w:rPr>
                <w:lang w:val="bs-Latn-BA"/>
              </w:rPr>
              <w:t>40.000</w:t>
            </w:r>
            <w:r w:rsidR="005E2A88">
              <w:rPr>
                <w:lang w:val="bs-Latn-BA"/>
              </w:rPr>
              <w:t xml:space="preserve"> EUR</w:t>
            </w:r>
            <w:r w:rsidR="005E2A88" w:rsidRPr="003408F1">
              <w:rPr>
                <w:lang w:val="bs-Latn-BA"/>
              </w:rPr>
              <w:t xml:space="preserve"> </w:t>
            </w:r>
          </w:p>
        </w:tc>
        <w:tc>
          <w:tcPr>
            <w:tcW w:w="1989" w:type="dxa"/>
          </w:tcPr>
          <w:p w:rsidR="005E2A88" w:rsidRPr="003408F1" w:rsidRDefault="005E2A88" w:rsidP="007124B0">
            <w:pPr>
              <w:rPr>
                <w:lang w:val="bs-Latn-BA"/>
              </w:rPr>
            </w:pPr>
            <w:r>
              <w:t>Budžet Sekretarijata za preduzetništvo</w:t>
            </w:r>
            <w:r w:rsidRPr="003408F1">
              <w:rPr>
                <w:lang w:val="bs-Latn-BA"/>
              </w:rPr>
              <w:t>.</w:t>
            </w:r>
          </w:p>
        </w:tc>
        <w:tc>
          <w:tcPr>
            <w:tcW w:w="1405" w:type="dxa"/>
          </w:tcPr>
          <w:p w:rsidR="005E2A88" w:rsidRPr="003408F1" w:rsidRDefault="005E2A88" w:rsidP="007124B0">
            <w:pPr>
              <w:rPr>
                <w:lang w:val="bs-Latn-BA"/>
              </w:rPr>
            </w:pPr>
            <w:r>
              <w:rPr>
                <w:lang w:val="bs-Latn-BA"/>
              </w:rPr>
              <w:t>Tokom cijele godine</w:t>
            </w:r>
            <w:r w:rsidRPr="003408F1">
              <w:rPr>
                <w:lang w:val="bs-Latn-BA"/>
              </w:rPr>
              <w:t xml:space="preserve"> </w:t>
            </w:r>
          </w:p>
        </w:tc>
        <w:tc>
          <w:tcPr>
            <w:tcW w:w="1601" w:type="dxa"/>
          </w:tcPr>
          <w:p w:rsidR="005E2A88" w:rsidRPr="003408F1" w:rsidRDefault="005E2A88" w:rsidP="007124B0">
            <w:pPr>
              <w:rPr>
                <w:lang w:val="bs-Latn-BA"/>
              </w:rPr>
            </w:pPr>
            <w:r>
              <w:rPr>
                <w:lang w:val="bs-Latn-BA"/>
              </w:rPr>
              <w:t>Sekretarijat za preduzetništvo</w:t>
            </w:r>
          </w:p>
        </w:tc>
      </w:tr>
      <w:tr w:rsidR="006A3A41" w:rsidRPr="003408F1" w:rsidTr="002A4165">
        <w:tc>
          <w:tcPr>
            <w:tcW w:w="3369" w:type="dxa"/>
          </w:tcPr>
          <w:p w:rsidR="005E2A88" w:rsidRPr="003408F1" w:rsidRDefault="005E2A88" w:rsidP="007124B0">
            <w:pPr>
              <w:rPr>
                <w:lang w:val="bs-Latn-BA"/>
              </w:rPr>
            </w:pPr>
            <w:r>
              <w:rPr>
                <w:lang w:val="bs-Latn-BA"/>
              </w:rPr>
              <w:t xml:space="preserve">2.6 </w:t>
            </w:r>
            <w:r w:rsidRPr="003408F1">
              <w:rPr>
                <w:lang w:val="bs-Latn-BA"/>
              </w:rPr>
              <w:t xml:space="preserve">Podrška start-upovima </w:t>
            </w:r>
          </w:p>
        </w:tc>
        <w:tc>
          <w:tcPr>
            <w:tcW w:w="1701" w:type="dxa"/>
          </w:tcPr>
          <w:p w:rsidR="005E2A88" w:rsidRPr="003408F1" w:rsidRDefault="005E2A88" w:rsidP="007124B0">
            <w:pPr>
              <w:rPr>
                <w:lang w:val="bs-Latn-BA"/>
              </w:rPr>
            </w:pPr>
            <w:r w:rsidRPr="003408F1">
              <w:rPr>
                <w:lang w:val="bs-Latn-BA"/>
              </w:rPr>
              <w:t xml:space="preserve">Nove firme u kreativnom preduzetništvu </w:t>
            </w:r>
          </w:p>
        </w:tc>
        <w:tc>
          <w:tcPr>
            <w:tcW w:w="1275" w:type="dxa"/>
          </w:tcPr>
          <w:p w:rsidR="005E2A88" w:rsidRPr="003408F1" w:rsidRDefault="00980A75" w:rsidP="007124B0">
            <w:pPr>
              <w:rPr>
                <w:lang w:val="bs-Latn-BA"/>
              </w:rPr>
            </w:pPr>
            <w:r>
              <w:rPr>
                <w:lang w:val="bs-Latn-BA"/>
              </w:rPr>
              <w:t>10</w:t>
            </w:r>
          </w:p>
        </w:tc>
        <w:tc>
          <w:tcPr>
            <w:tcW w:w="1701" w:type="dxa"/>
          </w:tcPr>
          <w:p w:rsidR="005E2A88" w:rsidRPr="003408F1" w:rsidRDefault="005E2A88" w:rsidP="007124B0">
            <w:pPr>
              <w:rPr>
                <w:lang w:val="bs-Latn-BA"/>
              </w:rPr>
            </w:pPr>
            <w:r w:rsidRPr="003408F1">
              <w:rPr>
                <w:lang w:val="bs-Latn-BA"/>
              </w:rPr>
              <w:t xml:space="preserve">Podrška start-upovima </w:t>
            </w:r>
          </w:p>
        </w:tc>
        <w:tc>
          <w:tcPr>
            <w:tcW w:w="1413" w:type="dxa"/>
          </w:tcPr>
          <w:p w:rsidR="005E2A88" w:rsidRPr="003408F1" w:rsidRDefault="009D6516" w:rsidP="007124B0">
            <w:pPr>
              <w:rPr>
                <w:lang w:val="bs-Latn-BA"/>
              </w:rPr>
            </w:pPr>
            <w:r>
              <w:rPr>
                <w:lang w:val="bs-Latn-BA"/>
              </w:rPr>
              <w:t xml:space="preserve">20.000 </w:t>
            </w:r>
            <w:r w:rsidR="005E2A88">
              <w:rPr>
                <w:lang w:val="bs-Latn-BA"/>
              </w:rPr>
              <w:t>EUR</w:t>
            </w:r>
            <w:r w:rsidR="005E2A88" w:rsidRPr="003408F1">
              <w:rPr>
                <w:lang w:val="bs-Latn-BA"/>
              </w:rPr>
              <w:t xml:space="preserve"> </w:t>
            </w:r>
          </w:p>
        </w:tc>
        <w:tc>
          <w:tcPr>
            <w:tcW w:w="1989" w:type="dxa"/>
          </w:tcPr>
          <w:p w:rsidR="005E2A88" w:rsidRPr="003408F1" w:rsidRDefault="005E2A88" w:rsidP="007124B0">
            <w:pPr>
              <w:rPr>
                <w:lang w:val="bs-Latn-BA"/>
              </w:rPr>
            </w:pPr>
            <w:r>
              <w:t>Budžet Sekretarijata za preduzetništvo</w:t>
            </w:r>
          </w:p>
        </w:tc>
        <w:tc>
          <w:tcPr>
            <w:tcW w:w="1405" w:type="dxa"/>
          </w:tcPr>
          <w:p w:rsidR="005E2A88" w:rsidRPr="003408F1" w:rsidRDefault="005E2A88" w:rsidP="007124B0">
            <w:pPr>
              <w:rPr>
                <w:lang w:val="bs-Latn-BA"/>
              </w:rPr>
            </w:pPr>
            <w:r>
              <w:rPr>
                <w:lang w:val="bs-Latn-BA"/>
              </w:rPr>
              <w:t>IV kvartal</w:t>
            </w:r>
            <w:r w:rsidRPr="003408F1">
              <w:rPr>
                <w:lang w:val="bs-Latn-BA"/>
              </w:rPr>
              <w:t xml:space="preserve"> </w:t>
            </w:r>
          </w:p>
        </w:tc>
        <w:tc>
          <w:tcPr>
            <w:tcW w:w="1601" w:type="dxa"/>
          </w:tcPr>
          <w:p w:rsidR="005E2A88" w:rsidRPr="003408F1" w:rsidRDefault="005E2A88" w:rsidP="007124B0">
            <w:pPr>
              <w:rPr>
                <w:lang w:val="bs-Latn-BA"/>
              </w:rPr>
            </w:pPr>
            <w:r>
              <w:rPr>
                <w:lang w:val="bs-Latn-BA"/>
              </w:rPr>
              <w:t>Sekretarijat za preduzetništvo</w:t>
            </w:r>
          </w:p>
        </w:tc>
      </w:tr>
    </w:tbl>
    <w:p w:rsidR="00587108" w:rsidRDefault="00587108" w:rsidP="00587108"/>
    <w:tbl>
      <w:tblPr>
        <w:tblStyle w:val="TableGrid"/>
        <w:tblW w:w="14454" w:type="dxa"/>
        <w:tblLook w:val="04A0"/>
      </w:tblPr>
      <w:tblGrid>
        <w:gridCol w:w="3348"/>
        <w:gridCol w:w="1738"/>
        <w:gridCol w:w="1278"/>
        <w:gridCol w:w="1831"/>
        <w:gridCol w:w="1614"/>
        <w:gridCol w:w="1566"/>
        <w:gridCol w:w="1401"/>
        <w:gridCol w:w="1678"/>
      </w:tblGrid>
      <w:tr w:rsidR="00587108" w:rsidTr="009D6516">
        <w:tc>
          <w:tcPr>
            <w:tcW w:w="3348" w:type="dxa"/>
            <w:shd w:val="clear" w:color="auto" w:fill="FFD966" w:themeFill="accent4" w:themeFillTint="99"/>
          </w:tcPr>
          <w:p w:rsidR="00587108" w:rsidRPr="00C7285E" w:rsidRDefault="00587108" w:rsidP="00C739C1">
            <w:pPr>
              <w:rPr>
                <w:b/>
                <w:bCs/>
              </w:rPr>
            </w:pPr>
            <w:r w:rsidRPr="00C7285E">
              <w:rPr>
                <w:b/>
                <w:bCs/>
              </w:rPr>
              <w:t>Cilj 3</w:t>
            </w:r>
          </w:p>
        </w:tc>
        <w:tc>
          <w:tcPr>
            <w:tcW w:w="11106" w:type="dxa"/>
            <w:gridSpan w:val="7"/>
          </w:tcPr>
          <w:p w:rsidR="00587108" w:rsidRDefault="00F15ADA" w:rsidP="00C739C1">
            <w:r w:rsidRPr="00F15ADA">
              <w:rPr>
                <w:b/>
                <w:lang w:val="sl-SI"/>
              </w:rPr>
              <w:t>Povećanje uključenosti ranjivih grupa na tržište rada</w:t>
            </w:r>
          </w:p>
          <w:p w:rsidR="00C7285E" w:rsidRDefault="00C7285E" w:rsidP="00C739C1"/>
        </w:tc>
      </w:tr>
      <w:tr w:rsidR="00587108" w:rsidTr="009D6516">
        <w:tc>
          <w:tcPr>
            <w:tcW w:w="3348" w:type="dxa"/>
            <w:shd w:val="clear" w:color="auto" w:fill="D9D9D9" w:themeFill="background1" w:themeFillShade="D9"/>
          </w:tcPr>
          <w:p w:rsidR="00587108" w:rsidRDefault="00587108" w:rsidP="00C739C1">
            <w:r>
              <w:t>Aktivnost/mjera</w:t>
            </w:r>
          </w:p>
        </w:tc>
        <w:tc>
          <w:tcPr>
            <w:tcW w:w="1738" w:type="dxa"/>
            <w:shd w:val="clear" w:color="auto" w:fill="D9D9D9" w:themeFill="background1" w:themeFillShade="D9"/>
          </w:tcPr>
          <w:p w:rsidR="00587108" w:rsidRDefault="00587108" w:rsidP="00C739C1">
            <w:r>
              <w:t>Ciljna grupa</w:t>
            </w:r>
          </w:p>
        </w:tc>
        <w:tc>
          <w:tcPr>
            <w:tcW w:w="1278" w:type="dxa"/>
            <w:shd w:val="clear" w:color="auto" w:fill="D9D9D9" w:themeFill="background1" w:themeFillShade="D9"/>
          </w:tcPr>
          <w:p w:rsidR="00587108" w:rsidRDefault="00587108" w:rsidP="00C739C1">
            <w:r>
              <w:t>Planiran broj uključenih</w:t>
            </w:r>
          </w:p>
        </w:tc>
        <w:tc>
          <w:tcPr>
            <w:tcW w:w="1831" w:type="dxa"/>
            <w:shd w:val="clear" w:color="auto" w:fill="D9D9D9" w:themeFill="background1" w:themeFillShade="D9"/>
          </w:tcPr>
          <w:p w:rsidR="00587108" w:rsidRDefault="00587108" w:rsidP="00C739C1">
            <w:r>
              <w:t>Očekivan rezultat</w:t>
            </w:r>
          </w:p>
        </w:tc>
        <w:tc>
          <w:tcPr>
            <w:tcW w:w="1614" w:type="dxa"/>
            <w:shd w:val="clear" w:color="auto" w:fill="D9D9D9" w:themeFill="background1" w:themeFillShade="D9"/>
          </w:tcPr>
          <w:p w:rsidR="00587108" w:rsidRDefault="00587108" w:rsidP="00C739C1">
            <w:r>
              <w:t>Potrebna finansijska sredstva</w:t>
            </w:r>
          </w:p>
        </w:tc>
        <w:tc>
          <w:tcPr>
            <w:tcW w:w="1566" w:type="dxa"/>
            <w:shd w:val="clear" w:color="auto" w:fill="D9D9D9" w:themeFill="background1" w:themeFillShade="D9"/>
          </w:tcPr>
          <w:p w:rsidR="00587108" w:rsidRDefault="00587108" w:rsidP="00C739C1">
            <w:r>
              <w:t>Izvor (i) finansiranja</w:t>
            </w:r>
          </w:p>
        </w:tc>
        <w:tc>
          <w:tcPr>
            <w:tcW w:w="1401" w:type="dxa"/>
            <w:shd w:val="clear" w:color="auto" w:fill="D9D9D9" w:themeFill="background1" w:themeFillShade="D9"/>
          </w:tcPr>
          <w:p w:rsidR="00587108" w:rsidRDefault="00587108" w:rsidP="00C739C1">
            <w:r>
              <w:t>Period sprovođenja</w:t>
            </w:r>
          </w:p>
          <w:p w:rsidR="00587108" w:rsidRDefault="00587108" w:rsidP="00C739C1">
            <w:r>
              <w:t>(kvartal)</w:t>
            </w:r>
          </w:p>
        </w:tc>
        <w:tc>
          <w:tcPr>
            <w:tcW w:w="1678" w:type="dxa"/>
            <w:shd w:val="clear" w:color="auto" w:fill="D9D9D9" w:themeFill="background1" w:themeFillShade="D9"/>
          </w:tcPr>
          <w:p w:rsidR="00587108" w:rsidRDefault="00587108" w:rsidP="00C739C1">
            <w:r>
              <w:t>Odgovornost za sprovođenje</w:t>
            </w:r>
          </w:p>
        </w:tc>
      </w:tr>
      <w:tr w:rsidR="005E2A88" w:rsidTr="009D6516">
        <w:tc>
          <w:tcPr>
            <w:tcW w:w="3348" w:type="dxa"/>
            <w:shd w:val="clear" w:color="auto" w:fill="FFFFFF" w:themeFill="background1"/>
          </w:tcPr>
          <w:p w:rsidR="005E2A88" w:rsidRPr="003408F1" w:rsidRDefault="005E2A88" w:rsidP="007124B0">
            <w:pPr>
              <w:rPr>
                <w:lang w:val="bs-Latn-BA"/>
              </w:rPr>
            </w:pPr>
            <w:r>
              <w:rPr>
                <w:lang w:val="bs-Latn-BA"/>
              </w:rPr>
              <w:t xml:space="preserve">3.1 </w:t>
            </w:r>
            <w:r w:rsidR="00337AA8" w:rsidRPr="00337AA8">
              <w:rPr>
                <w:lang w:val="bs-Latn-BA"/>
              </w:rPr>
              <w:t>Promocija mogućnosti korišćenja resursa Centra kompetencija za  nezaposlena lica, lica u nepovoljnom položaju na tržištu rada</w:t>
            </w:r>
            <w:bookmarkStart w:id="141" w:name="_GoBack"/>
            <w:bookmarkEnd w:id="141"/>
          </w:p>
        </w:tc>
        <w:tc>
          <w:tcPr>
            <w:tcW w:w="1738" w:type="dxa"/>
            <w:shd w:val="clear" w:color="auto" w:fill="FFFFFF" w:themeFill="background1"/>
          </w:tcPr>
          <w:p w:rsidR="005E2A88" w:rsidRPr="003408F1" w:rsidRDefault="00812E03" w:rsidP="00812E03">
            <w:pPr>
              <w:rPr>
                <w:lang w:val="bs-Latn-BA"/>
              </w:rPr>
            </w:pPr>
            <w:r w:rsidRPr="00812E03">
              <w:rPr>
                <w:lang w:val="bs-Latn-BA"/>
              </w:rPr>
              <w:t>NVO</w:t>
            </w:r>
          </w:p>
        </w:tc>
        <w:tc>
          <w:tcPr>
            <w:tcW w:w="1278" w:type="dxa"/>
            <w:shd w:val="clear" w:color="auto" w:fill="FFFFFF" w:themeFill="background1"/>
          </w:tcPr>
          <w:p w:rsidR="005E2A88" w:rsidRPr="00B35D8D" w:rsidRDefault="00473431" w:rsidP="007124B0">
            <w:pPr>
              <w:rPr>
                <w:highlight w:val="yellow"/>
                <w:lang w:val="bs-Latn-BA"/>
              </w:rPr>
            </w:pPr>
            <w:r w:rsidRPr="00B35D8D">
              <w:rPr>
                <w:lang w:val="bs-Latn-BA"/>
              </w:rPr>
              <w:t>3</w:t>
            </w:r>
          </w:p>
        </w:tc>
        <w:tc>
          <w:tcPr>
            <w:tcW w:w="1831" w:type="dxa"/>
            <w:shd w:val="clear" w:color="auto" w:fill="FFFFFF" w:themeFill="background1"/>
          </w:tcPr>
          <w:p w:rsidR="006A3A41" w:rsidRDefault="006A3A41" w:rsidP="007124B0">
            <w:pPr>
              <w:rPr>
                <w:lang w:val="bs-Latn-BA"/>
              </w:rPr>
            </w:pPr>
            <w:r>
              <w:rPr>
                <w:lang w:val="bs-Latn-BA"/>
              </w:rPr>
              <w:t>Bolja ponuda programa koje realizuju NVO</w:t>
            </w:r>
          </w:p>
          <w:p w:rsidR="005E2A88" w:rsidRPr="003408F1" w:rsidRDefault="006A3A41" w:rsidP="007124B0">
            <w:pPr>
              <w:rPr>
                <w:lang w:val="bs-Latn-BA"/>
              </w:rPr>
            </w:pPr>
            <w:r>
              <w:rPr>
                <w:lang w:val="bs-Latn-BA"/>
              </w:rPr>
              <w:t xml:space="preserve">Veća uključenost nezaposlenih lica u programe obuka koje sprovode NVO </w:t>
            </w:r>
            <w:r w:rsidR="005E2A88" w:rsidRPr="003408F1">
              <w:rPr>
                <w:lang w:val="bs-Latn-BA"/>
              </w:rPr>
              <w:t xml:space="preserve"> </w:t>
            </w:r>
          </w:p>
        </w:tc>
        <w:tc>
          <w:tcPr>
            <w:tcW w:w="1614" w:type="dxa"/>
            <w:shd w:val="clear" w:color="auto" w:fill="FFFFFF" w:themeFill="background1"/>
          </w:tcPr>
          <w:p w:rsidR="005E2A88" w:rsidRPr="003408F1" w:rsidRDefault="005E2A88" w:rsidP="007124B0">
            <w:pPr>
              <w:rPr>
                <w:lang w:val="bs-Latn-BA"/>
              </w:rPr>
            </w:pPr>
            <w:r>
              <w:rPr>
                <w:iCs/>
                <w:lang w:val="bs-Latn-BA"/>
              </w:rPr>
              <w:t>Nisu potrebna sredstva</w:t>
            </w:r>
          </w:p>
        </w:tc>
        <w:tc>
          <w:tcPr>
            <w:tcW w:w="1566" w:type="dxa"/>
            <w:shd w:val="clear" w:color="auto" w:fill="FFFFFF" w:themeFill="background1"/>
          </w:tcPr>
          <w:p w:rsidR="005E2A88" w:rsidRPr="003408F1" w:rsidRDefault="005E2A88" w:rsidP="007124B0">
            <w:pPr>
              <w:rPr>
                <w:lang w:val="bs-Latn-BA"/>
              </w:rPr>
            </w:pPr>
            <w:r>
              <w:rPr>
                <w:lang w:val="bs-Latn-BA"/>
              </w:rPr>
              <w:t>Budžet Glavnog grada</w:t>
            </w:r>
          </w:p>
        </w:tc>
        <w:tc>
          <w:tcPr>
            <w:tcW w:w="1401" w:type="dxa"/>
            <w:shd w:val="clear" w:color="auto" w:fill="FFFFFF" w:themeFill="background1"/>
          </w:tcPr>
          <w:p w:rsidR="005E2A88" w:rsidRPr="003408F1" w:rsidRDefault="005E2A88" w:rsidP="007124B0">
            <w:pPr>
              <w:rPr>
                <w:lang w:val="bs-Latn-BA"/>
              </w:rPr>
            </w:pPr>
            <w:r>
              <w:rPr>
                <w:lang w:val="bs-Latn-BA"/>
              </w:rPr>
              <w:t>IV</w:t>
            </w:r>
            <w:r w:rsidRPr="003408F1">
              <w:rPr>
                <w:lang w:val="bs-Latn-BA"/>
              </w:rPr>
              <w:t xml:space="preserve"> </w:t>
            </w:r>
            <w:r w:rsidR="005A7124">
              <w:rPr>
                <w:lang w:val="bs-Latn-BA"/>
              </w:rPr>
              <w:t>kvartal</w:t>
            </w:r>
          </w:p>
        </w:tc>
        <w:tc>
          <w:tcPr>
            <w:tcW w:w="1678" w:type="dxa"/>
            <w:shd w:val="clear" w:color="auto" w:fill="FFFFFF" w:themeFill="background1"/>
          </w:tcPr>
          <w:p w:rsidR="005E2A88" w:rsidRPr="003408F1" w:rsidRDefault="005E2A88" w:rsidP="007124B0">
            <w:pPr>
              <w:rPr>
                <w:lang w:val="bs-Latn-BA"/>
              </w:rPr>
            </w:pPr>
            <w:r>
              <w:rPr>
                <w:lang w:val="bs-Latn-BA"/>
              </w:rPr>
              <w:t>Sekretarijat za preduzetništvo</w:t>
            </w:r>
          </w:p>
        </w:tc>
      </w:tr>
      <w:tr w:rsidR="009A0456" w:rsidTr="009D6516">
        <w:tc>
          <w:tcPr>
            <w:tcW w:w="3348" w:type="dxa"/>
            <w:shd w:val="clear" w:color="auto" w:fill="FFFFFF" w:themeFill="background1"/>
          </w:tcPr>
          <w:p w:rsidR="009A0456" w:rsidRPr="009A0456" w:rsidRDefault="009A0456" w:rsidP="00812E03">
            <w:r w:rsidRPr="009A0456">
              <w:t xml:space="preserve">3.2 Profesionalna rehabilitacija i zapošljavanje </w:t>
            </w:r>
          </w:p>
        </w:tc>
        <w:tc>
          <w:tcPr>
            <w:tcW w:w="1738" w:type="dxa"/>
            <w:shd w:val="clear" w:color="auto" w:fill="FFFFFF" w:themeFill="background1"/>
          </w:tcPr>
          <w:p w:rsidR="009A0456" w:rsidRPr="003408F1" w:rsidRDefault="009A0456" w:rsidP="00337AA8">
            <w:pPr>
              <w:rPr>
                <w:lang w:val="bs-Latn-BA"/>
              </w:rPr>
            </w:pPr>
            <w:r>
              <w:t>L</w:t>
            </w:r>
            <w:r w:rsidRPr="00812E03">
              <w:t>ica sa invaliditetom</w:t>
            </w:r>
          </w:p>
        </w:tc>
        <w:tc>
          <w:tcPr>
            <w:tcW w:w="1278" w:type="dxa"/>
            <w:shd w:val="clear" w:color="auto" w:fill="FFFFFF" w:themeFill="background1"/>
          </w:tcPr>
          <w:p w:rsidR="009A0456" w:rsidRPr="009A0456" w:rsidRDefault="009A0456" w:rsidP="00337AA8">
            <w:pPr>
              <w:rPr>
                <w:lang w:val="bs-Latn-BA"/>
              </w:rPr>
            </w:pPr>
            <w:r w:rsidRPr="009A0456">
              <w:rPr>
                <w:lang w:val="bs-Latn-BA"/>
              </w:rPr>
              <w:t>100</w:t>
            </w:r>
          </w:p>
        </w:tc>
        <w:tc>
          <w:tcPr>
            <w:tcW w:w="1831" w:type="dxa"/>
            <w:shd w:val="clear" w:color="auto" w:fill="FFFFFF" w:themeFill="background1"/>
          </w:tcPr>
          <w:p w:rsidR="009A0456" w:rsidRDefault="006A3A41" w:rsidP="006A3A41">
            <w:r>
              <w:t>Omogućeno d</w:t>
            </w:r>
            <w:r w:rsidR="009A0456">
              <w:t xml:space="preserve">a se lica sa invaliditetom osposobe za rad, zadrže zaposlenje, unaprijede  ili promijene svoju profesionalnu </w:t>
            </w:r>
            <w:r w:rsidR="009A0456">
              <w:lastRenderedPageBreak/>
              <w:t>karijeru.</w:t>
            </w:r>
          </w:p>
        </w:tc>
        <w:tc>
          <w:tcPr>
            <w:tcW w:w="1614" w:type="dxa"/>
            <w:shd w:val="clear" w:color="auto" w:fill="FFFFFF" w:themeFill="background1"/>
          </w:tcPr>
          <w:p w:rsidR="009A0456" w:rsidRDefault="009A0456" w:rsidP="009A0456">
            <w:r>
              <w:lastRenderedPageBreak/>
              <w:t>Plaćanje je po satu je  12,16 EUR,  grupne radionice 2,03 EUR po satu.</w:t>
            </w:r>
          </w:p>
        </w:tc>
        <w:tc>
          <w:tcPr>
            <w:tcW w:w="1566" w:type="dxa"/>
            <w:shd w:val="clear" w:color="auto" w:fill="FFFFFF" w:themeFill="background1"/>
          </w:tcPr>
          <w:p w:rsidR="009A0456" w:rsidRPr="009A0456" w:rsidRDefault="009A0456" w:rsidP="00337AA8">
            <w:r w:rsidRPr="009A0456">
              <w:t>Fond za profesionalnu rehabilitaciju i zapošljavanje lica sa invaliditetom</w:t>
            </w:r>
          </w:p>
        </w:tc>
        <w:tc>
          <w:tcPr>
            <w:tcW w:w="1401" w:type="dxa"/>
            <w:shd w:val="clear" w:color="auto" w:fill="FFFFFF" w:themeFill="background1"/>
          </w:tcPr>
          <w:p w:rsidR="009A0456" w:rsidRDefault="009A0456" w:rsidP="00337AA8">
            <w:r>
              <w:t>Tokom cijele godine</w:t>
            </w:r>
          </w:p>
        </w:tc>
        <w:tc>
          <w:tcPr>
            <w:tcW w:w="1678" w:type="dxa"/>
            <w:shd w:val="clear" w:color="auto" w:fill="FFFFFF" w:themeFill="background1"/>
          </w:tcPr>
          <w:p w:rsidR="009A0456" w:rsidRPr="009A0456" w:rsidRDefault="009A0456" w:rsidP="009A0456">
            <w:r w:rsidRPr="009A0456">
              <w:t>Zavod za zapošljavanje Crne Gore</w:t>
            </w:r>
          </w:p>
        </w:tc>
      </w:tr>
      <w:tr w:rsidR="009A0456" w:rsidTr="009D6516">
        <w:tc>
          <w:tcPr>
            <w:tcW w:w="3348" w:type="dxa"/>
            <w:shd w:val="clear" w:color="auto" w:fill="FFFFFF" w:themeFill="background1"/>
          </w:tcPr>
          <w:p w:rsidR="009A0456" w:rsidRPr="009A0456" w:rsidRDefault="009A0456" w:rsidP="00812E03">
            <w:r w:rsidRPr="009A0456">
              <w:lastRenderedPageBreak/>
              <w:t xml:space="preserve">3.3 Subvencije zarada </w:t>
            </w:r>
          </w:p>
        </w:tc>
        <w:tc>
          <w:tcPr>
            <w:tcW w:w="1738" w:type="dxa"/>
            <w:shd w:val="clear" w:color="auto" w:fill="FFFFFF" w:themeFill="background1"/>
          </w:tcPr>
          <w:p w:rsidR="009A0456" w:rsidRDefault="009A0456" w:rsidP="00337AA8">
            <w:r>
              <w:t>Lica sa invaliditetom</w:t>
            </w:r>
          </w:p>
        </w:tc>
        <w:tc>
          <w:tcPr>
            <w:tcW w:w="1278" w:type="dxa"/>
            <w:shd w:val="clear" w:color="auto" w:fill="FFFFFF" w:themeFill="background1"/>
          </w:tcPr>
          <w:p w:rsidR="009A0456" w:rsidRPr="009830EB" w:rsidRDefault="009A0456" w:rsidP="00337AA8">
            <w:pPr>
              <w:rPr>
                <w:strike/>
                <w:lang w:val="bs-Latn-BA"/>
              </w:rPr>
            </w:pPr>
            <w:r>
              <w:t>220 poslodavaca za 350 lica</w:t>
            </w:r>
          </w:p>
        </w:tc>
        <w:tc>
          <w:tcPr>
            <w:tcW w:w="1831" w:type="dxa"/>
            <w:shd w:val="clear" w:color="auto" w:fill="FFFFFF" w:themeFill="background1"/>
          </w:tcPr>
          <w:p w:rsidR="009A0456" w:rsidRDefault="006A3A41" w:rsidP="009A0456">
            <w:r>
              <w:t>Omogućeno d</w:t>
            </w:r>
            <w:r w:rsidR="009A0456">
              <w:t>a se lica sa invaliditetom osposobe za rad, zadrže zaposlenje, unaprijede  ili promijene svoju profesionalnu karijeru.</w:t>
            </w:r>
          </w:p>
        </w:tc>
        <w:tc>
          <w:tcPr>
            <w:tcW w:w="1614" w:type="dxa"/>
            <w:shd w:val="clear" w:color="auto" w:fill="FFFFFF" w:themeFill="background1"/>
          </w:tcPr>
          <w:p w:rsidR="009A0456" w:rsidRDefault="009A0456" w:rsidP="00337AA8">
            <w:r>
              <w:t>4.000.000 EUR</w:t>
            </w:r>
          </w:p>
        </w:tc>
        <w:tc>
          <w:tcPr>
            <w:tcW w:w="1566" w:type="dxa"/>
            <w:shd w:val="clear" w:color="auto" w:fill="FFFFFF" w:themeFill="background1"/>
          </w:tcPr>
          <w:p w:rsidR="009A0456" w:rsidRPr="009A0456" w:rsidRDefault="009A0456" w:rsidP="00337AA8">
            <w:r w:rsidRPr="009A0456">
              <w:t>Fond za profesionalnu rehabilitaciju i zapošljavanje lica sa invaliditetom</w:t>
            </w:r>
          </w:p>
        </w:tc>
        <w:tc>
          <w:tcPr>
            <w:tcW w:w="1401" w:type="dxa"/>
            <w:shd w:val="clear" w:color="auto" w:fill="FFFFFF" w:themeFill="background1"/>
          </w:tcPr>
          <w:p w:rsidR="009A0456" w:rsidRDefault="009A0456" w:rsidP="00337AA8">
            <w:r>
              <w:t>Tokom cijele godine</w:t>
            </w:r>
          </w:p>
        </w:tc>
        <w:tc>
          <w:tcPr>
            <w:tcW w:w="1678" w:type="dxa"/>
            <w:shd w:val="clear" w:color="auto" w:fill="FFFFFF" w:themeFill="background1"/>
          </w:tcPr>
          <w:p w:rsidR="009A0456" w:rsidRPr="009A0456" w:rsidRDefault="009A0456" w:rsidP="00337AA8">
            <w:r w:rsidRPr="009A0456">
              <w:t>Zavod za zapošljavanje</w:t>
            </w:r>
          </w:p>
          <w:p w:rsidR="009A0456" w:rsidRPr="009A0456" w:rsidRDefault="009A0456" w:rsidP="00337AA8">
            <w:r w:rsidRPr="009A0456">
              <w:t>Crne Gore</w:t>
            </w:r>
          </w:p>
        </w:tc>
      </w:tr>
      <w:tr w:rsidR="009A0456" w:rsidTr="009D6516">
        <w:tc>
          <w:tcPr>
            <w:tcW w:w="3348" w:type="dxa"/>
            <w:shd w:val="clear" w:color="auto" w:fill="FFFFFF" w:themeFill="background1"/>
          </w:tcPr>
          <w:p w:rsidR="009A0456" w:rsidRPr="009A0456" w:rsidRDefault="009A0456" w:rsidP="00812E03">
            <w:r w:rsidRPr="009A0456">
              <w:t>3.4   Podsticaji/ subvencije za zapošljavanje</w:t>
            </w:r>
          </w:p>
        </w:tc>
        <w:tc>
          <w:tcPr>
            <w:tcW w:w="1738" w:type="dxa"/>
            <w:shd w:val="clear" w:color="auto" w:fill="FFFFFF" w:themeFill="background1"/>
          </w:tcPr>
          <w:p w:rsidR="009A0456" w:rsidRPr="003408F1" w:rsidRDefault="009A0456" w:rsidP="009A0456">
            <w:pPr>
              <w:rPr>
                <w:lang w:val="bs-Latn-BA"/>
              </w:rPr>
            </w:pPr>
            <w:r>
              <w:rPr>
                <w:lang w:val="bs-Latn-BA"/>
              </w:rPr>
              <w:t xml:space="preserve">Nezaposlena lica </w:t>
            </w:r>
          </w:p>
        </w:tc>
        <w:tc>
          <w:tcPr>
            <w:tcW w:w="1278" w:type="dxa"/>
            <w:shd w:val="clear" w:color="auto" w:fill="FFFFFF" w:themeFill="background1"/>
          </w:tcPr>
          <w:p w:rsidR="009A0456" w:rsidRDefault="009A0456" w:rsidP="009A0456">
            <w:r>
              <w:t xml:space="preserve">100 </w:t>
            </w:r>
          </w:p>
        </w:tc>
        <w:tc>
          <w:tcPr>
            <w:tcW w:w="1831" w:type="dxa"/>
            <w:shd w:val="clear" w:color="auto" w:fill="FFFFFF" w:themeFill="background1"/>
          </w:tcPr>
          <w:p w:rsidR="009A0456" w:rsidRDefault="009A0456" w:rsidP="003F2FAA">
            <w:r>
              <w:t>Povećanje broja zaposlenih</w:t>
            </w:r>
          </w:p>
        </w:tc>
        <w:tc>
          <w:tcPr>
            <w:tcW w:w="1614" w:type="dxa"/>
            <w:shd w:val="clear" w:color="auto" w:fill="FFFFFF" w:themeFill="background1"/>
          </w:tcPr>
          <w:p w:rsidR="009A0456" w:rsidRDefault="009A0456" w:rsidP="003F2FAA">
            <w:r>
              <w:t>Zavisno od broja zaposlenih</w:t>
            </w:r>
          </w:p>
        </w:tc>
        <w:tc>
          <w:tcPr>
            <w:tcW w:w="1566" w:type="dxa"/>
            <w:shd w:val="clear" w:color="auto" w:fill="FFFFFF" w:themeFill="background1"/>
          </w:tcPr>
          <w:p w:rsidR="009A0456" w:rsidRPr="009A0456" w:rsidRDefault="009A0456" w:rsidP="00812E03">
            <w:r w:rsidRPr="009A0456">
              <w:t>Budžet za mjere aktivne politike zapošljavanja</w:t>
            </w:r>
          </w:p>
          <w:p w:rsidR="009A0456" w:rsidRPr="009A0456" w:rsidRDefault="009A0456" w:rsidP="00812E03"/>
        </w:tc>
        <w:tc>
          <w:tcPr>
            <w:tcW w:w="1401" w:type="dxa"/>
            <w:shd w:val="clear" w:color="auto" w:fill="FFFFFF" w:themeFill="background1"/>
          </w:tcPr>
          <w:p w:rsidR="009A0456" w:rsidRDefault="009A0456" w:rsidP="00812E03">
            <w:r>
              <w:t>Tokom cijele godine</w:t>
            </w:r>
          </w:p>
        </w:tc>
        <w:tc>
          <w:tcPr>
            <w:tcW w:w="1678" w:type="dxa"/>
            <w:shd w:val="clear" w:color="auto" w:fill="FFFFFF" w:themeFill="background1"/>
          </w:tcPr>
          <w:p w:rsidR="009A0456" w:rsidRPr="009A0456" w:rsidRDefault="009A0456" w:rsidP="009A0456">
            <w:r w:rsidRPr="009A0456">
              <w:t>Zavod za zapošljavanje</w:t>
            </w:r>
          </w:p>
          <w:p w:rsidR="009A0456" w:rsidRDefault="009A0456" w:rsidP="009A0456">
            <w:r w:rsidRPr="009A0456">
              <w:t>Crne Gore</w:t>
            </w:r>
          </w:p>
        </w:tc>
      </w:tr>
      <w:tr w:rsidR="007E3FCC" w:rsidTr="009D6516">
        <w:tc>
          <w:tcPr>
            <w:tcW w:w="3348" w:type="dxa"/>
            <w:shd w:val="clear" w:color="auto" w:fill="FFFFFF" w:themeFill="background1"/>
          </w:tcPr>
          <w:p w:rsidR="007E3FCC" w:rsidRPr="009A0456" w:rsidRDefault="007E3FCC" w:rsidP="007E3FCC">
            <w:r w:rsidRPr="009A0456">
              <w:rPr>
                <w:lang w:val="bs-Latn-BA"/>
              </w:rPr>
              <w:t xml:space="preserve">3.5 Javni radovi </w:t>
            </w:r>
          </w:p>
        </w:tc>
        <w:tc>
          <w:tcPr>
            <w:tcW w:w="1738" w:type="dxa"/>
            <w:shd w:val="clear" w:color="auto" w:fill="FFFFFF" w:themeFill="background1"/>
          </w:tcPr>
          <w:p w:rsidR="007E3FCC" w:rsidRPr="003408F1" w:rsidRDefault="007E3FCC" w:rsidP="007E3FCC">
            <w:pPr>
              <w:rPr>
                <w:lang w:val="bs-Latn-BA"/>
              </w:rPr>
            </w:pPr>
            <w:r>
              <w:t>Nezaposlena lica bez školske spreme ili sa završenom osnovnom školom, nez</w:t>
            </w:r>
            <w:r w:rsidR="009D6516">
              <w:t xml:space="preserve">aposlena lica koja pripadaju </w:t>
            </w:r>
            <w:r>
              <w:t>RE populaciji i nezaposlena lica ko</w:t>
            </w:r>
            <w:r w:rsidR="009D6516">
              <w:t>ja u poslednjih 12 mjeseci nis</w:t>
            </w:r>
            <w:r>
              <w:t>u bila u radnom odnosu, zbog čega su u riziku od socijalne isključenosti</w:t>
            </w:r>
          </w:p>
        </w:tc>
        <w:tc>
          <w:tcPr>
            <w:tcW w:w="1278" w:type="dxa"/>
            <w:shd w:val="clear" w:color="auto" w:fill="FFFFFF" w:themeFill="background1"/>
          </w:tcPr>
          <w:p w:rsidR="007E3FCC" w:rsidRPr="003408F1" w:rsidRDefault="009A0456" w:rsidP="007E3FCC">
            <w:pPr>
              <w:rPr>
                <w:lang w:val="bs-Latn-BA"/>
              </w:rPr>
            </w:pPr>
            <w:r>
              <w:rPr>
                <w:lang w:val="bs-Latn-BA"/>
              </w:rPr>
              <w:t>100</w:t>
            </w:r>
          </w:p>
        </w:tc>
        <w:tc>
          <w:tcPr>
            <w:tcW w:w="1831" w:type="dxa"/>
            <w:shd w:val="clear" w:color="auto" w:fill="FFFFFF" w:themeFill="background1"/>
          </w:tcPr>
          <w:p w:rsidR="007E3FCC" w:rsidRPr="003408F1" w:rsidRDefault="007E3FCC" w:rsidP="007E3FCC">
            <w:pPr>
              <w:rPr>
                <w:lang w:val="bs-Latn-BA"/>
              </w:rPr>
            </w:pPr>
            <w:r>
              <w:t xml:space="preserve">Očuvanje i unapređenje radnih sposobnosti učesnika </w:t>
            </w:r>
          </w:p>
        </w:tc>
        <w:tc>
          <w:tcPr>
            <w:tcW w:w="1614" w:type="dxa"/>
            <w:shd w:val="clear" w:color="auto" w:fill="FFFFFF" w:themeFill="background1"/>
          </w:tcPr>
          <w:p w:rsidR="007E3FCC" w:rsidRPr="009A0456" w:rsidRDefault="007E3FCC" w:rsidP="007E3FCC">
            <w:r w:rsidRPr="009A0456">
              <w:t>1.825 EUR prosječno za jedno uključeno lice</w:t>
            </w:r>
          </w:p>
        </w:tc>
        <w:tc>
          <w:tcPr>
            <w:tcW w:w="1566" w:type="dxa"/>
            <w:shd w:val="clear" w:color="auto" w:fill="FFFFFF" w:themeFill="background1"/>
          </w:tcPr>
          <w:p w:rsidR="007E3FCC" w:rsidRPr="009A0456" w:rsidRDefault="007E3FCC" w:rsidP="007E3FCC">
            <w:r w:rsidRPr="009A0456">
              <w:t>Budžet za mjere aktivne politike zapošljavanja</w:t>
            </w:r>
          </w:p>
        </w:tc>
        <w:tc>
          <w:tcPr>
            <w:tcW w:w="1401" w:type="dxa"/>
            <w:shd w:val="clear" w:color="auto" w:fill="FFFFFF" w:themeFill="background1"/>
          </w:tcPr>
          <w:p w:rsidR="007E3FCC" w:rsidRPr="009A0456" w:rsidRDefault="007E3FCC" w:rsidP="007E3FCC">
            <w:r w:rsidRPr="009A0456">
              <w:rPr>
                <w:lang w:val="bs-Latn-BA"/>
              </w:rPr>
              <w:t xml:space="preserve">Tokom cijele godine </w:t>
            </w:r>
          </w:p>
        </w:tc>
        <w:tc>
          <w:tcPr>
            <w:tcW w:w="1678" w:type="dxa"/>
            <w:shd w:val="clear" w:color="auto" w:fill="FFFFFF" w:themeFill="background1"/>
          </w:tcPr>
          <w:p w:rsidR="007E3FCC" w:rsidRPr="009A0456" w:rsidRDefault="007E3FCC" w:rsidP="007E3FCC">
            <w:r w:rsidRPr="009A0456">
              <w:t>Zavod za zapošljavanje, Biro rada Podgorica, Biro rada Golubovci</w:t>
            </w:r>
          </w:p>
        </w:tc>
      </w:tr>
      <w:bookmarkEnd w:id="140"/>
      <w:tr w:rsidR="003668AE" w:rsidRPr="00812E03" w:rsidTr="009D6516">
        <w:tc>
          <w:tcPr>
            <w:tcW w:w="3348" w:type="dxa"/>
          </w:tcPr>
          <w:p w:rsidR="003668AE" w:rsidRDefault="003668AE" w:rsidP="003668AE">
            <w:r w:rsidRPr="003668AE">
              <w:rPr>
                <w:lang w:val="bs-Latn-BA"/>
              </w:rPr>
              <w:t>3.</w:t>
            </w:r>
            <w:r>
              <w:rPr>
                <w:lang w:val="bs-Latn-BA"/>
              </w:rPr>
              <w:t xml:space="preserve">6 </w:t>
            </w:r>
            <w:r w:rsidRPr="003668AE">
              <w:rPr>
                <w:lang w:val="bs-Latn-BA"/>
              </w:rPr>
              <w:t xml:space="preserve"> </w:t>
            </w:r>
            <w:r>
              <w:rPr>
                <w:szCs w:val="20"/>
                <w:lang w:val="bs-Latn-BA"/>
              </w:rPr>
              <w:t>Obuke za rad na šivaćim mašinama</w:t>
            </w:r>
          </w:p>
        </w:tc>
        <w:tc>
          <w:tcPr>
            <w:tcW w:w="1738" w:type="dxa"/>
          </w:tcPr>
          <w:p w:rsidR="003668AE" w:rsidRPr="003408F1" w:rsidRDefault="003668AE" w:rsidP="003F2FAA">
            <w:pPr>
              <w:rPr>
                <w:lang w:val="bs-Latn-BA"/>
              </w:rPr>
            </w:pPr>
            <w:r>
              <w:rPr>
                <w:szCs w:val="20"/>
                <w:lang w:val="bs-Latn-BA"/>
              </w:rPr>
              <w:t>Pripadnice RE zajednice</w:t>
            </w:r>
          </w:p>
        </w:tc>
        <w:tc>
          <w:tcPr>
            <w:tcW w:w="1278" w:type="dxa"/>
          </w:tcPr>
          <w:p w:rsidR="003668AE" w:rsidRPr="003408F1" w:rsidRDefault="003668AE" w:rsidP="003F2FAA">
            <w:pPr>
              <w:rPr>
                <w:lang w:val="bs-Latn-BA"/>
              </w:rPr>
            </w:pPr>
            <w:r>
              <w:rPr>
                <w:lang w:val="bs-Latn-BA"/>
              </w:rPr>
              <w:t>20</w:t>
            </w:r>
          </w:p>
        </w:tc>
        <w:tc>
          <w:tcPr>
            <w:tcW w:w="1831" w:type="dxa"/>
          </w:tcPr>
          <w:p w:rsidR="003668AE" w:rsidRPr="003408F1" w:rsidRDefault="003668AE" w:rsidP="006A3A41">
            <w:pPr>
              <w:rPr>
                <w:lang w:val="bs-Latn-BA"/>
              </w:rPr>
            </w:pPr>
            <w:r>
              <w:rPr>
                <w:szCs w:val="20"/>
                <w:lang w:val="sl-SI"/>
              </w:rPr>
              <w:t>Stečene vještine i znanja otvaraju mogućnost za zapošljavanje i samozapošljavanje</w:t>
            </w:r>
          </w:p>
        </w:tc>
        <w:tc>
          <w:tcPr>
            <w:tcW w:w="1614" w:type="dxa"/>
          </w:tcPr>
          <w:p w:rsidR="003668AE" w:rsidRPr="003668AE" w:rsidRDefault="003668AE" w:rsidP="003F2FAA">
            <w:r w:rsidRPr="003668AE">
              <w:t>6.000 EUR</w:t>
            </w:r>
          </w:p>
        </w:tc>
        <w:tc>
          <w:tcPr>
            <w:tcW w:w="1566" w:type="dxa"/>
          </w:tcPr>
          <w:p w:rsidR="003668AE" w:rsidRPr="00812E03" w:rsidRDefault="003668AE" w:rsidP="003F2FAA">
            <w:pPr>
              <w:rPr>
                <w:color w:val="FF0000"/>
              </w:rPr>
            </w:pPr>
            <w:r>
              <w:rPr>
                <w:szCs w:val="20"/>
                <w:lang w:val="sl-SI"/>
              </w:rPr>
              <w:t>Budžet Sekretarijata za socijalno staranje, ADRA</w:t>
            </w:r>
          </w:p>
        </w:tc>
        <w:tc>
          <w:tcPr>
            <w:tcW w:w="1401" w:type="dxa"/>
          </w:tcPr>
          <w:p w:rsidR="003668AE" w:rsidRPr="003668AE" w:rsidRDefault="003668AE" w:rsidP="003F2FAA">
            <w:r w:rsidRPr="003668AE">
              <w:rPr>
                <w:lang w:val="bs-Latn-BA"/>
              </w:rPr>
              <w:t xml:space="preserve">Tokom cijele godine </w:t>
            </w:r>
          </w:p>
        </w:tc>
        <w:tc>
          <w:tcPr>
            <w:tcW w:w="1678" w:type="dxa"/>
          </w:tcPr>
          <w:p w:rsidR="003668AE" w:rsidRPr="00812E03" w:rsidRDefault="003668AE" w:rsidP="003668AE">
            <w:pPr>
              <w:rPr>
                <w:color w:val="FF0000"/>
              </w:rPr>
            </w:pPr>
            <w:r>
              <w:rPr>
                <w:szCs w:val="20"/>
                <w:lang w:val="sl-SI"/>
              </w:rPr>
              <w:t>Sekretarijat za socijalno staranje, Humanitarna organizacija ADRA</w:t>
            </w:r>
          </w:p>
        </w:tc>
      </w:tr>
      <w:tr w:rsidR="00E30888" w:rsidRPr="00812E03" w:rsidTr="009D6516">
        <w:tc>
          <w:tcPr>
            <w:tcW w:w="3348" w:type="dxa"/>
          </w:tcPr>
          <w:p w:rsidR="00E30888" w:rsidRPr="003668AE" w:rsidRDefault="00E30888" w:rsidP="00E30888">
            <w:pPr>
              <w:rPr>
                <w:lang w:val="bs-Latn-BA"/>
              </w:rPr>
            </w:pPr>
            <w:r>
              <w:rPr>
                <w:snapToGrid w:val="0"/>
                <w:szCs w:val="20"/>
              </w:rPr>
              <w:t xml:space="preserve">3.7 Poboljšanje sistema podrške RE </w:t>
            </w:r>
            <w:r>
              <w:rPr>
                <w:snapToGrid w:val="0"/>
                <w:szCs w:val="20"/>
              </w:rPr>
              <w:lastRenderedPageBreak/>
              <w:t>zajednici u ostvarivanju prava u oblasti zdravstvenih usluga, socijalne zaštite i zapošljavanja</w:t>
            </w:r>
          </w:p>
        </w:tc>
        <w:tc>
          <w:tcPr>
            <w:tcW w:w="1738" w:type="dxa"/>
          </w:tcPr>
          <w:p w:rsidR="00E30888" w:rsidRDefault="00E30888" w:rsidP="00E30888">
            <w:pPr>
              <w:rPr>
                <w:szCs w:val="20"/>
                <w:lang w:val="bs-Latn-BA"/>
              </w:rPr>
            </w:pPr>
            <w:r>
              <w:rPr>
                <w:szCs w:val="20"/>
                <w:lang w:val="bs-Latn-BA"/>
              </w:rPr>
              <w:lastRenderedPageBreak/>
              <w:t xml:space="preserve">Pripadnici RE </w:t>
            </w:r>
            <w:r>
              <w:rPr>
                <w:szCs w:val="20"/>
                <w:lang w:val="bs-Latn-BA"/>
              </w:rPr>
              <w:lastRenderedPageBreak/>
              <w:t>zajednice</w:t>
            </w:r>
          </w:p>
        </w:tc>
        <w:tc>
          <w:tcPr>
            <w:tcW w:w="1278" w:type="dxa"/>
          </w:tcPr>
          <w:p w:rsidR="00E30888" w:rsidRDefault="00E30888" w:rsidP="003F2FAA">
            <w:pPr>
              <w:rPr>
                <w:lang w:val="bs-Latn-BA"/>
              </w:rPr>
            </w:pPr>
            <w:r>
              <w:rPr>
                <w:szCs w:val="20"/>
                <w:lang w:val="bs-Latn-BA"/>
              </w:rPr>
              <w:lastRenderedPageBreak/>
              <w:t xml:space="preserve">60 </w:t>
            </w:r>
            <w:r>
              <w:rPr>
                <w:szCs w:val="20"/>
              </w:rPr>
              <w:t>obu</w:t>
            </w:r>
            <w:r>
              <w:rPr>
                <w:szCs w:val="20"/>
                <w:lang w:val="bs-Latn-BA"/>
              </w:rPr>
              <w:t>č</w:t>
            </w:r>
            <w:r>
              <w:rPr>
                <w:szCs w:val="20"/>
              </w:rPr>
              <w:t xml:space="preserve">enih </w:t>
            </w:r>
            <w:r>
              <w:rPr>
                <w:szCs w:val="20"/>
              </w:rPr>
              <w:lastRenderedPageBreak/>
              <w:t>RE medijatora</w:t>
            </w:r>
            <w:r>
              <w:rPr>
                <w:szCs w:val="20"/>
                <w:lang w:val="bs-Latn-BA"/>
              </w:rPr>
              <w:t xml:space="preserve">, 40 </w:t>
            </w:r>
            <w:r>
              <w:rPr>
                <w:szCs w:val="20"/>
              </w:rPr>
              <w:t>zapo</w:t>
            </w:r>
            <w:r>
              <w:rPr>
                <w:szCs w:val="20"/>
                <w:lang w:val="bs-Latn-BA"/>
              </w:rPr>
              <w:t>š</w:t>
            </w:r>
            <w:r>
              <w:rPr>
                <w:szCs w:val="20"/>
              </w:rPr>
              <w:t>ljenih RE medijatora</w:t>
            </w:r>
          </w:p>
        </w:tc>
        <w:tc>
          <w:tcPr>
            <w:tcW w:w="1831" w:type="dxa"/>
          </w:tcPr>
          <w:p w:rsidR="00E30888" w:rsidRDefault="00E30888" w:rsidP="00E30888">
            <w:pPr>
              <w:rPr>
                <w:szCs w:val="20"/>
                <w:lang w:val="sl-SI"/>
              </w:rPr>
            </w:pPr>
            <w:r>
              <w:rPr>
                <w:szCs w:val="20"/>
                <w:lang w:val="sl-SI"/>
              </w:rPr>
              <w:lastRenderedPageBreak/>
              <w:t>Uvećani kapaciteti</w:t>
            </w:r>
            <w:r>
              <w:rPr>
                <w:b/>
                <w:bCs/>
                <w:szCs w:val="20"/>
                <w:lang w:val="sl-SI"/>
              </w:rPr>
              <w:t xml:space="preserve"> </w:t>
            </w:r>
            <w:r>
              <w:rPr>
                <w:szCs w:val="20"/>
                <w:lang w:val="sl-SI"/>
              </w:rPr>
              <w:lastRenderedPageBreak/>
              <w:t>državnih institucija za pružanje usluge medijacije RE populaciji; omogućen</w:t>
            </w:r>
            <w:r>
              <w:rPr>
                <w:b/>
                <w:bCs/>
                <w:szCs w:val="20"/>
                <w:lang w:val="sl-SI"/>
              </w:rPr>
              <w:t xml:space="preserve"> </w:t>
            </w:r>
            <w:r>
              <w:rPr>
                <w:szCs w:val="20"/>
                <w:lang w:val="sl-SI"/>
              </w:rPr>
              <w:t>pristup pripadnicima RE populacije uslugama iz oblasti zapošljavanja, socijalne i zdravstvene zaštite.</w:t>
            </w:r>
          </w:p>
        </w:tc>
        <w:tc>
          <w:tcPr>
            <w:tcW w:w="1614" w:type="dxa"/>
          </w:tcPr>
          <w:p w:rsidR="00E30888" w:rsidRPr="003668AE" w:rsidRDefault="009D6516" w:rsidP="00E30888">
            <w:r>
              <w:rPr>
                <w:szCs w:val="20"/>
                <w:lang w:val="sl-SI"/>
              </w:rPr>
              <w:lastRenderedPageBreak/>
              <w:t>500.382</w:t>
            </w:r>
            <w:r w:rsidR="00E30888">
              <w:rPr>
                <w:szCs w:val="20"/>
                <w:lang w:val="sl-SI"/>
              </w:rPr>
              <w:t xml:space="preserve"> EUR</w:t>
            </w:r>
          </w:p>
        </w:tc>
        <w:tc>
          <w:tcPr>
            <w:tcW w:w="1566" w:type="dxa"/>
          </w:tcPr>
          <w:p w:rsidR="00E30888" w:rsidRDefault="00E30888" w:rsidP="003F2FAA">
            <w:pPr>
              <w:rPr>
                <w:szCs w:val="20"/>
                <w:lang w:val="sl-SI"/>
              </w:rPr>
            </w:pPr>
            <w:r>
              <w:rPr>
                <w:szCs w:val="20"/>
                <w:lang w:val="sl-SI"/>
              </w:rPr>
              <w:t xml:space="preserve">IPA sredstva </w:t>
            </w:r>
            <w:r>
              <w:rPr>
                <w:szCs w:val="20"/>
                <w:lang w:val="sl-SI"/>
              </w:rPr>
              <w:lastRenderedPageBreak/>
              <w:t>EU i Budžet Glavnog grada</w:t>
            </w:r>
          </w:p>
        </w:tc>
        <w:tc>
          <w:tcPr>
            <w:tcW w:w="1401" w:type="dxa"/>
          </w:tcPr>
          <w:p w:rsidR="00E30888" w:rsidRPr="003668AE" w:rsidRDefault="00E30888" w:rsidP="003F2FAA">
            <w:pPr>
              <w:rPr>
                <w:lang w:val="bs-Latn-BA"/>
              </w:rPr>
            </w:pPr>
            <w:r w:rsidRPr="003668AE">
              <w:rPr>
                <w:lang w:val="bs-Latn-BA"/>
              </w:rPr>
              <w:lastRenderedPageBreak/>
              <w:t xml:space="preserve">Tokom cijele </w:t>
            </w:r>
            <w:r w:rsidRPr="003668AE">
              <w:rPr>
                <w:lang w:val="bs-Latn-BA"/>
              </w:rPr>
              <w:lastRenderedPageBreak/>
              <w:t>godine</w:t>
            </w:r>
          </w:p>
        </w:tc>
        <w:tc>
          <w:tcPr>
            <w:tcW w:w="1678" w:type="dxa"/>
          </w:tcPr>
          <w:p w:rsidR="00E30888" w:rsidRDefault="00E30888" w:rsidP="003668AE">
            <w:pPr>
              <w:rPr>
                <w:szCs w:val="20"/>
                <w:lang w:val="sl-SI"/>
              </w:rPr>
            </w:pPr>
            <w:r>
              <w:rPr>
                <w:szCs w:val="20"/>
                <w:lang w:val="sl-SI"/>
              </w:rPr>
              <w:lastRenderedPageBreak/>
              <w:t xml:space="preserve">Sekretarijat za </w:t>
            </w:r>
            <w:r>
              <w:rPr>
                <w:szCs w:val="20"/>
                <w:lang w:val="sl-SI"/>
              </w:rPr>
              <w:lastRenderedPageBreak/>
              <w:t>socijalno staranje</w:t>
            </w:r>
          </w:p>
        </w:tc>
      </w:tr>
    </w:tbl>
    <w:p w:rsidR="00587108" w:rsidRDefault="00587108" w:rsidP="00587108"/>
    <w:sectPr w:rsidR="00587108" w:rsidSect="00B57797">
      <w:pgSz w:w="16838" w:h="11906" w:orient="landscape"/>
      <w:pgMar w:top="1361" w:right="1304" w:bottom="1304"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B3" w:rsidRDefault="007D53B3" w:rsidP="00DA06C9">
      <w:r>
        <w:separator/>
      </w:r>
    </w:p>
  </w:endnote>
  <w:endnote w:type="continuationSeparator" w:id="0">
    <w:p w:rsidR="007D53B3" w:rsidRDefault="007D53B3" w:rsidP="00DA0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Roman">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00089"/>
      <w:docPartObj>
        <w:docPartGallery w:val="Page Numbers (Bottom of Page)"/>
        <w:docPartUnique/>
      </w:docPartObj>
    </w:sdtPr>
    <w:sdtContent>
      <w:p w:rsidR="003F2FAA" w:rsidRDefault="001E3C64">
        <w:pPr>
          <w:pStyle w:val="Footer"/>
          <w:jc w:val="right"/>
        </w:pPr>
        <w:r>
          <w:fldChar w:fldCharType="begin"/>
        </w:r>
        <w:r w:rsidR="003F2FAA">
          <w:instrText>PAGE   \* MERGEFORMAT</w:instrText>
        </w:r>
        <w:r>
          <w:fldChar w:fldCharType="separate"/>
        </w:r>
        <w:r w:rsidR="00C97E0B" w:rsidRPr="00C97E0B">
          <w:rPr>
            <w:noProof/>
            <w:lang w:val="sl-SI"/>
          </w:rPr>
          <w:t>10</w:t>
        </w:r>
        <w:r>
          <w:fldChar w:fldCharType="end"/>
        </w:r>
      </w:p>
    </w:sdtContent>
  </w:sdt>
  <w:p w:rsidR="003F2FAA" w:rsidRDefault="003F2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B3" w:rsidRDefault="007D53B3" w:rsidP="00DA06C9">
      <w:r>
        <w:separator/>
      </w:r>
    </w:p>
  </w:footnote>
  <w:footnote w:type="continuationSeparator" w:id="0">
    <w:p w:rsidR="007D53B3" w:rsidRDefault="007D53B3" w:rsidP="00DA06C9">
      <w:r>
        <w:continuationSeparator/>
      </w:r>
    </w:p>
  </w:footnote>
  <w:footnote w:id="1">
    <w:p w:rsidR="003F2FAA" w:rsidRPr="001A054A" w:rsidRDefault="003F2FAA" w:rsidP="00EF77D6">
      <w:pPr>
        <w:pStyle w:val="FootnoteText"/>
        <w:rPr>
          <w:rFonts w:ascii="Cambria" w:hAnsi="Cambria"/>
          <w:sz w:val="18"/>
          <w:szCs w:val="18"/>
          <w:lang w:val="sl-SI"/>
        </w:rPr>
      </w:pPr>
      <w:r w:rsidRPr="001A054A">
        <w:rPr>
          <w:rStyle w:val="FootnoteReference"/>
          <w:rFonts w:ascii="Cambria" w:hAnsi="Cambria"/>
          <w:sz w:val="18"/>
          <w:szCs w:val="18"/>
        </w:rPr>
        <w:footnoteRef/>
      </w:r>
      <w:r w:rsidRPr="001A054A">
        <w:rPr>
          <w:rFonts w:ascii="Cambria" w:hAnsi="Cambria"/>
          <w:sz w:val="18"/>
          <w:szCs w:val="18"/>
        </w:rPr>
        <w:t xml:space="preserve"> Evropska komisija, Crna Gora 2020, Brisel, 6.10.2020</w:t>
      </w:r>
      <w:r>
        <w:rPr>
          <w:rFonts w:ascii="Cambria" w:hAnsi="Cambria"/>
          <w:sz w:val="18"/>
          <w:szCs w:val="18"/>
        </w:rPr>
        <w:t>.</w:t>
      </w:r>
    </w:p>
  </w:footnote>
  <w:footnote w:id="2">
    <w:p w:rsidR="003F2FAA" w:rsidRPr="006247F8" w:rsidRDefault="003F2FAA" w:rsidP="00A6124E">
      <w:pPr>
        <w:pStyle w:val="FootnoteText"/>
        <w:rPr>
          <w:rFonts w:ascii="Cambria" w:hAnsi="Cambria" w:cs="Arial"/>
          <w:sz w:val="18"/>
          <w:szCs w:val="18"/>
          <w:lang w:val="sl-SI"/>
        </w:rPr>
      </w:pPr>
      <w:r w:rsidRPr="006247F8">
        <w:rPr>
          <w:rStyle w:val="FootnoteReference"/>
          <w:rFonts w:ascii="Cambria" w:hAnsi="Cambria"/>
          <w:sz w:val="18"/>
          <w:szCs w:val="18"/>
        </w:rPr>
        <w:footnoteRef/>
      </w:r>
      <w:r w:rsidRPr="006247F8">
        <w:rPr>
          <w:rFonts w:ascii="Cambria" w:hAnsi="Cambria"/>
          <w:sz w:val="18"/>
          <w:szCs w:val="18"/>
        </w:rPr>
        <w:t xml:space="preserve"> </w:t>
      </w:r>
      <w:r w:rsidRPr="006247F8">
        <w:rPr>
          <w:rFonts w:ascii="Cambria" w:hAnsi="Cambria" w:cs="Arial"/>
          <w:sz w:val="18"/>
          <w:szCs w:val="18"/>
        </w:rPr>
        <w:t xml:space="preserve">Napomena: </w:t>
      </w:r>
      <w:r>
        <w:rPr>
          <w:rFonts w:ascii="Cambria" w:hAnsi="Cambria" w:cs="Arial"/>
          <w:sz w:val="18"/>
          <w:szCs w:val="18"/>
        </w:rPr>
        <w:t>M</w:t>
      </w:r>
      <w:r w:rsidRPr="006247F8">
        <w:rPr>
          <w:rFonts w:ascii="Cambria" w:hAnsi="Cambria" w:cs="Arial"/>
          <w:sz w:val="18"/>
          <w:szCs w:val="18"/>
        </w:rPr>
        <w:t>oguće</w:t>
      </w:r>
      <w:r>
        <w:rPr>
          <w:rFonts w:ascii="Cambria" w:hAnsi="Cambria" w:cs="Arial"/>
          <w:sz w:val="18"/>
          <w:szCs w:val="18"/>
        </w:rPr>
        <w:t xml:space="preserve"> je da</w:t>
      </w:r>
      <w:r w:rsidRPr="006247F8">
        <w:rPr>
          <w:rFonts w:ascii="Cambria" w:hAnsi="Cambria" w:cs="Arial"/>
          <w:sz w:val="18"/>
          <w:szCs w:val="18"/>
        </w:rPr>
        <w:t xml:space="preserve"> </w:t>
      </w:r>
      <w:r>
        <w:rPr>
          <w:rFonts w:ascii="Cambria" w:hAnsi="Cambria" w:cs="Arial"/>
          <w:sz w:val="18"/>
          <w:szCs w:val="18"/>
        </w:rPr>
        <w:t>i</w:t>
      </w:r>
      <w:r w:rsidRPr="006247F8">
        <w:rPr>
          <w:rFonts w:ascii="Cambria" w:hAnsi="Cambria" w:cs="Arial"/>
          <w:sz w:val="18"/>
          <w:szCs w:val="18"/>
        </w:rPr>
        <w:t>zvjestan (nepoznat) broj lica pripada u više kategorija pa se podaci moraju posmatrati</w:t>
      </w:r>
      <w:r>
        <w:rPr>
          <w:rFonts w:ascii="Cambria" w:hAnsi="Cambria" w:cs="Arial"/>
          <w:sz w:val="18"/>
          <w:szCs w:val="18"/>
        </w:rPr>
        <w:t xml:space="preserve"> sa rezervom</w:t>
      </w:r>
    </w:p>
  </w:footnote>
  <w:footnote w:id="3">
    <w:p w:rsidR="003F2FAA" w:rsidRPr="00642587" w:rsidRDefault="003F2FAA" w:rsidP="00A6124E">
      <w:pPr>
        <w:pStyle w:val="FootnoteText"/>
        <w:jc w:val="both"/>
        <w:rPr>
          <w:rFonts w:ascii="Cambria" w:hAnsi="Cambria"/>
          <w:color w:val="000000" w:themeColor="text1"/>
          <w:sz w:val="18"/>
          <w:szCs w:val="18"/>
        </w:rPr>
      </w:pPr>
      <w:r w:rsidRPr="00642587">
        <w:rPr>
          <w:rStyle w:val="FootnoteReference"/>
          <w:rFonts w:ascii="Cambria" w:hAnsi="Cambria"/>
          <w:sz w:val="18"/>
          <w:szCs w:val="18"/>
        </w:rPr>
        <w:footnoteRef/>
      </w:r>
      <w:r w:rsidRPr="00642587">
        <w:rPr>
          <w:rFonts w:ascii="Cambria" w:hAnsi="Cambria"/>
          <w:color w:val="000000" w:themeColor="text1"/>
          <w:sz w:val="18"/>
          <w:szCs w:val="18"/>
        </w:rPr>
        <w:t xml:space="preserve"> </w:t>
      </w:r>
      <w:r w:rsidRPr="00C64347">
        <w:rPr>
          <w:rFonts w:ascii="Cambria" w:hAnsi="Cambria"/>
          <w:i/>
          <w:iCs/>
          <w:color w:val="000000" w:themeColor="text1"/>
          <w:sz w:val="18"/>
          <w:szCs w:val="18"/>
        </w:rPr>
        <w:t>Indeks konkurentnosti</w:t>
      </w:r>
      <w:r w:rsidRPr="00642587">
        <w:rPr>
          <w:rFonts w:ascii="Cambria" w:hAnsi="Cambria"/>
          <w:color w:val="000000" w:themeColor="text1"/>
          <w:sz w:val="18"/>
          <w:szCs w:val="18"/>
        </w:rPr>
        <w:t xml:space="preserve"> predstavlja trogodišnji prosjek pokazatelja poslovnog okruženja i poslovnog sektora, koji se izračunava na osnovu analize kvalitativnih i kvantitativnih podataka na nivou jedinice lokalne samouprave. Indeks konkurentnosti dakle predstavlja kompozitni pokazatelj dobijen na osnovu 125 indikatora i to: 96 statističkih i 29 anketnih, strukturiranih u osam skupova (podfaktora), koje formiraju dva faktora konkurentnosti: poslovno okruženje i poslovni sektor. U ukupnoj strukturi indeksa konkurentnosti, poslovno okruženje predstavlja dominantan faktor sa ponderom 0,844, dok kvalitet poslovnog sektora ima manji uticaj sa ponderom 0,166.</w:t>
      </w:r>
    </w:p>
  </w:footnote>
  <w:footnote w:id="4">
    <w:p w:rsidR="003F2FAA" w:rsidRPr="00B47FB0" w:rsidRDefault="003F2FAA" w:rsidP="00A6124E">
      <w:pPr>
        <w:pStyle w:val="FootnoteText"/>
        <w:jc w:val="both"/>
        <w:rPr>
          <w:color w:val="000000" w:themeColor="text1"/>
          <w:sz w:val="18"/>
        </w:rPr>
      </w:pPr>
      <w:r w:rsidRPr="00B47FB0">
        <w:rPr>
          <w:rStyle w:val="FootnoteReference"/>
          <w:sz w:val="18"/>
        </w:rPr>
        <w:footnoteRef/>
      </w:r>
      <w:r w:rsidRPr="00B47FB0">
        <w:rPr>
          <w:color w:val="000000" w:themeColor="text1"/>
          <w:sz w:val="18"/>
        </w:rPr>
        <w:t xml:space="preserve"> </w:t>
      </w:r>
      <w:r w:rsidRPr="00C64347">
        <w:rPr>
          <w:rFonts w:ascii="Cambria" w:hAnsi="Cambria"/>
          <w:i/>
          <w:iCs/>
          <w:color w:val="000000" w:themeColor="text1"/>
          <w:sz w:val="18"/>
        </w:rPr>
        <w:t>Indeks razvijenosti</w:t>
      </w:r>
      <w:r w:rsidRPr="00B47FB0">
        <w:rPr>
          <w:rFonts w:ascii="Cambria" w:hAnsi="Cambria"/>
          <w:color w:val="000000" w:themeColor="text1"/>
          <w:sz w:val="18"/>
        </w:rPr>
        <w:t xml:space="preserve"> predstavlja trogodišnje prosječno ponderisano odstupanje standardizovanih vrijednosti osnovnih pokazatelja od nacionalnog prosjeka. Pokazatelji koji ulaze u sastav indeksa razvijenosti izračunati su na osnovu podataka u periodu od tri godine koje prethode postupku ocjenjivanja i to su: stopa nezaposlenosti, dohodak JLS per capita, budžetski prihodi JLS (sopstveni zakonom ustupljeni) per capita, stopa rasta stanovništva i stopa obrazovanja stnovništva na nivou JLS</w:t>
      </w:r>
    </w:p>
  </w:footnote>
  <w:footnote w:id="5">
    <w:p w:rsidR="003F2FAA" w:rsidRPr="009D1B26" w:rsidRDefault="003F2FAA" w:rsidP="00A6124E">
      <w:pPr>
        <w:pStyle w:val="FootnoteText"/>
        <w:rPr>
          <w:rFonts w:ascii="Cambria" w:hAnsi="Cambria"/>
          <w:sz w:val="18"/>
          <w:szCs w:val="18"/>
        </w:rPr>
      </w:pPr>
      <w:r w:rsidRPr="009D1B26">
        <w:rPr>
          <w:rStyle w:val="FootnoteReference"/>
          <w:rFonts w:ascii="Cambria" w:hAnsi="Cambria"/>
          <w:sz w:val="18"/>
          <w:szCs w:val="18"/>
        </w:rPr>
        <w:footnoteRef/>
      </w:r>
      <w:r w:rsidRPr="009D1B26">
        <w:rPr>
          <w:rFonts w:ascii="Cambria" w:hAnsi="Cambria"/>
          <w:sz w:val="18"/>
          <w:szCs w:val="18"/>
        </w:rPr>
        <w:t xml:space="preserve"> Prema podacima Strateškog plana razvoja Glavnog grada – Podgorice 2019 – 2024. </w:t>
      </w:r>
    </w:p>
  </w:footnote>
  <w:footnote w:id="6">
    <w:p w:rsidR="003F2FAA" w:rsidRPr="004F4C0D" w:rsidRDefault="003F2FAA" w:rsidP="00A6124E">
      <w:pPr>
        <w:pStyle w:val="FootnoteText"/>
        <w:jc w:val="both"/>
        <w:rPr>
          <w:rFonts w:ascii="Cambria" w:hAnsi="Cambria"/>
        </w:rPr>
      </w:pPr>
      <w:r w:rsidRPr="004F4C0D">
        <w:rPr>
          <w:rStyle w:val="FootnoteReference"/>
          <w:rFonts w:ascii="Cambria" w:hAnsi="Cambria"/>
        </w:rPr>
        <w:footnoteRef/>
      </w:r>
      <w:r w:rsidRPr="004F4C0D">
        <w:rPr>
          <w:rFonts w:ascii="Cambria" w:hAnsi="Cambria"/>
        </w:rPr>
        <w:t xml:space="preserve"> Prema podacima Strateškog plana razvoja Glavnog grada – Podgorice 2019 – 2024., od ukupne površine poljoprivrednog zemljišta koje je registrovano za organsku proizvodnju, obradivo poljoprivredno zemljište obuhvata 110,02 hektara, a 3.451,10 hektara su travnate površine, odnosno livade i pašnjaci koji služe za organsku proizvodnju u stočarstvu.</w:t>
      </w:r>
    </w:p>
  </w:footnote>
  <w:footnote w:id="7">
    <w:p w:rsidR="003F2FAA" w:rsidRPr="00DC641A" w:rsidRDefault="003F2FAA" w:rsidP="00A6124E">
      <w:pPr>
        <w:pStyle w:val="FootnoteText"/>
        <w:rPr>
          <w:sz w:val="18"/>
          <w:szCs w:val="18"/>
        </w:rPr>
      </w:pPr>
      <w:r>
        <w:rPr>
          <w:rStyle w:val="FootnoteReference"/>
        </w:rPr>
        <w:footnoteRef/>
      </w:r>
      <w:r>
        <w:t xml:space="preserve"> </w:t>
      </w:r>
      <w:r w:rsidRPr="00DC641A">
        <w:rPr>
          <w:rFonts w:ascii="Cambria" w:hAnsi="Cambria"/>
          <w:sz w:val="18"/>
          <w:szCs w:val="18"/>
        </w:rPr>
        <w:t>Strateški plan razvoja Glavnog grada – Podgorice 2019 – 2024</w:t>
      </w:r>
      <w:r>
        <w:rPr>
          <w:rFonts w:ascii="Cambria" w:hAnsi="Cambria"/>
          <w:sz w:val="18"/>
          <w:szCs w:val="18"/>
        </w:rPr>
        <w:t>.</w:t>
      </w:r>
    </w:p>
  </w:footnote>
  <w:footnote w:id="8">
    <w:p w:rsidR="003F2FAA" w:rsidRPr="004D3049" w:rsidRDefault="003F2FAA" w:rsidP="008F4117">
      <w:pPr>
        <w:pStyle w:val="FootnoteText"/>
        <w:jc w:val="both"/>
      </w:pPr>
      <w:r>
        <w:rPr>
          <w:rStyle w:val="FootnoteReference"/>
        </w:rPr>
        <w:footnoteRef/>
      </w:r>
      <w:r>
        <w:t xml:space="preserve"> </w:t>
      </w:r>
      <w:r w:rsidRPr="000D1BB9">
        <w:rPr>
          <w:rFonts w:ascii="Cambria" w:hAnsi="Cambria"/>
          <w:sz w:val="18"/>
          <w:szCs w:val="18"/>
        </w:rPr>
        <w:t xml:space="preserve">Kompozitni indikator sačinjavaju sljedeći pokazatelji stanja na tržištu rada: Gustina naseljenosti, Migracioni saldo, izražen kao neto migracije / ukupno stanovništvo, Broj članova porodice koji primaju MOP kao % ukupnog stanovništva; Visokoškolci na programu / ukupno stanovništvo; Zaposleni / ukupno stanovništvo; Prosječna zarada; Platni fond per capita; Nezaposleni / ukupno stanovništvo; Aktivni poslovni subjekti per capita; Broj slobodnih radnih mjesta / broj stanovnika.  Kompozitni indikator tržišta rada izračunava se jednostavno iz svojih sastavnih djelova, odnosno 10 reprezentativnih indikatora. Za svaki indikator opštine se rangiraju ocjenama od 1 do 21, pri čemu je 1 ocjena koju ima najbolja opština, a 21 rezultat opštine koja stoji najlošije u pogledu posmatranog indikatora. Više u: </w:t>
      </w:r>
      <w:r w:rsidRPr="000D1BB9">
        <w:rPr>
          <w:rFonts w:ascii="Cambria" w:hAnsi="Cambria"/>
          <w:sz w:val="18"/>
          <w:szCs w:val="18"/>
          <w:lang w:val="sl-SI"/>
        </w:rPr>
        <w:t>Analiza lokalnih tržišta rada u Crnoj Gori, M. Arandarenko, M. Mirković, 2020</w:t>
      </w:r>
      <w:r>
        <w:rPr>
          <w:rFonts w:ascii="Cambria" w:hAnsi="Cambria"/>
          <w:sz w:val="18"/>
          <w:szCs w:val="18"/>
          <w:lang w:val="sl-SI"/>
        </w:rPr>
        <w:t>.</w:t>
      </w:r>
    </w:p>
  </w:footnote>
  <w:footnote w:id="9">
    <w:p w:rsidR="003F2FAA" w:rsidRPr="004D3049" w:rsidRDefault="003F2FAA" w:rsidP="008F4117">
      <w:pPr>
        <w:pStyle w:val="FootnoteText"/>
      </w:pPr>
      <w:r>
        <w:rPr>
          <w:rStyle w:val="FootnoteReference"/>
        </w:rPr>
        <w:footnoteRef/>
      </w:r>
      <w:r>
        <w:t xml:space="preserve"> </w:t>
      </w:r>
      <w:r w:rsidRPr="004D3049">
        <w:rPr>
          <w:rFonts w:ascii="Cambria" w:hAnsi="Cambria"/>
          <w:sz w:val="18"/>
          <w:szCs w:val="18"/>
        </w:rPr>
        <w:t>Zbog uporedivosti, indeks za 2018. godinu obuhvata stanje na tržištu rada i opštine Berane i opštine Petnjica.</w:t>
      </w:r>
      <w:r>
        <w:t xml:space="preserve">  </w:t>
      </w:r>
    </w:p>
  </w:footnote>
  <w:footnote w:id="10">
    <w:p w:rsidR="003F2FAA" w:rsidRPr="00BD67E4" w:rsidRDefault="003F2FAA">
      <w:pPr>
        <w:pStyle w:val="FootnoteText"/>
        <w:rPr>
          <w:rFonts w:ascii="Cambria" w:hAnsi="Cambria"/>
          <w:sz w:val="18"/>
          <w:szCs w:val="18"/>
          <w:lang w:val="sl-SI"/>
        </w:rPr>
      </w:pPr>
      <w:r w:rsidRPr="00BD67E4">
        <w:rPr>
          <w:rStyle w:val="FootnoteReference"/>
          <w:rFonts w:ascii="Cambria" w:hAnsi="Cambria"/>
          <w:sz w:val="18"/>
          <w:szCs w:val="18"/>
        </w:rPr>
        <w:footnoteRef/>
      </w:r>
      <w:r w:rsidRPr="00BD67E4">
        <w:rPr>
          <w:rFonts w:ascii="Cambria" w:hAnsi="Cambria"/>
          <w:sz w:val="18"/>
          <w:szCs w:val="18"/>
        </w:rPr>
        <w:t xml:space="preserve"> </w:t>
      </w:r>
      <w:r w:rsidRPr="00BD67E4">
        <w:rPr>
          <w:rFonts w:ascii="Cambria" w:hAnsi="Cambria"/>
          <w:sz w:val="18"/>
          <w:szCs w:val="18"/>
          <w:lang w:val="sl-SI"/>
        </w:rPr>
        <w:t>Podaci o nezaposlenima i programima i mjerama preuzeti su iz Godišnj</w:t>
      </w:r>
      <w:r>
        <w:rPr>
          <w:rFonts w:ascii="Cambria" w:hAnsi="Cambria"/>
          <w:sz w:val="18"/>
          <w:szCs w:val="18"/>
          <w:lang w:val="sl-SI"/>
        </w:rPr>
        <w:t>ih</w:t>
      </w:r>
      <w:r w:rsidRPr="00BD67E4">
        <w:rPr>
          <w:rFonts w:ascii="Cambria" w:hAnsi="Cambria"/>
          <w:sz w:val="18"/>
          <w:szCs w:val="18"/>
          <w:lang w:val="sl-SI"/>
        </w:rPr>
        <w:t xml:space="preserve"> izvještaja o radu ZZZCG ili posredovano </w:t>
      </w:r>
      <w:r>
        <w:rPr>
          <w:rFonts w:ascii="Cambria" w:hAnsi="Cambria"/>
          <w:sz w:val="18"/>
          <w:szCs w:val="18"/>
          <w:lang w:val="sl-SI"/>
        </w:rPr>
        <w:t xml:space="preserve">direktno </w:t>
      </w:r>
      <w:r w:rsidRPr="00BD67E4">
        <w:rPr>
          <w:rFonts w:ascii="Cambria" w:hAnsi="Cambria"/>
          <w:sz w:val="18"/>
          <w:szCs w:val="18"/>
          <w:lang w:val="sl-SI"/>
        </w:rPr>
        <w:t>od Z</w:t>
      </w:r>
      <w:r>
        <w:rPr>
          <w:rFonts w:ascii="Cambria" w:hAnsi="Cambria"/>
          <w:sz w:val="18"/>
          <w:szCs w:val="18"/>
          <w:lang w:val="sl-SI"/>
        </w:rPr>
        <w:t>Z</w:t>
      </w:r>
      <w:r w:rsidRPr="00BD67E4">
        <w:rPr>
          <w:rFonts w:ascii="Cambria" w:hAnsi="Cambria"/>
          <w:sz w:val="18"/>
          <w:szCs w:val="18"/>
          <w:lang w:val="sl-SI"/>
        </w:rPr>
        <w:t>ZCG za potrebe izrade lok</w:t>
      </w:r>
      <w:r>
        <w:rPr>
          <w:rFonts w:ascii="Cambria" w:hAnsi="Cambria"/>
          <w:sz w:val="18"/>
          <w:szCs w:val="18"/>
          <w:lang w:val="sl-SI"/>
        </w:rPr>
        <w:t>a</w:t>
      </w:r>
      <w:r w:rsidRPr="00BD67E4">
        <w:rPr>
          <w:rFonts w:ascii="Cambria" w:hAnsi="Cambria"/>
          <w:sz w:val="18"/>
          <w:szCs w:val="18"/>
          <w:lang w:val="sl-SI"/>
        </w:rPr>
        <w:t>lnih strategija zapošljavanja</w:t>
      </w:r>
    </w:p>
  </w:footnote>
  <w:footnote w:id="11">
    <w:p w:rsidR="003F2FAA" w:rsidRPr="00DC350E" w:rsidRDefault="003F2FAA" w:rsidP="00AB4D72">
      <w:pPr>
        <w:pStyle w:val="FootnoteText"/>
        <w:jc w:val="both"/>
      </w:pPr>
      <w:r>
        <w:rPr>
          <w:rStyle w:val="FootnoteReference"/>
        </w:rPr>
        <w:footnoteRef/>
      </w:r>
      <w:r>
        <w:t xml:space="preserve"> </w:t>
      </w:r>
      <w:r w:rsidRPr="000D1BB9">
        <w:rPr>
          <w:rFonts w:ascii="Cambria" w:hAnsi="Cambria"/>
          <w:sz w:val="18"/>
          <w:szCs w:val="18"/>
        </w:rPr>
        <w:t>Pod niskokvalifikovanim osobama se smatraju osobe sa stečenim I i II stepenom kvalifikacija prema Nacionalnom okviru kvalifikacija; Pod srednjekvalifikovanim osobama se smatraju osobe sa stečenim III, IV i V stepenom kvalifikacija prema Nacionalnom okviru kvlifikacija; Pod visokokvalifikovanim osobama se smatraju osobe sa stečenim VI, VII, VII2 i VIII stepenom kvalifikacija prema Nacionalnom okviru kvalifikacija.</w:t>
      </w:r>
    </w:p>
  </w:footnote>
  <w:footnote w:id="12">
    <w:p w:rsidR="003F2FAA" w:rsidRPr="00CF7FA3" w:rsidRDefault="003F2FAA">
      <w:pPr>
        <w:pStyle w:val="FootnoteText"/>
        <w:rPr>
          <w:rFonts w:ascii="Cambria" w:hAnsi="Cambria"/>
          <w:sz w:val="18"/>
          <w:szCs w:val="18"/>
          <w:lang w:val="sl-SI"/>
        </w:rPr>
      </w:pPr>
      <w:r w:rsidRPr="00CF7FA3">
        <w:rPr>
          <w:rStyle w:val="FootnoteReference"/>
          <w:rFonts w:ascii="Cambria" w:hAnsi="Cambria"/>
          <w:sz w:val="18"/>
          <w:szCs w:val="18"/>
        </w:rPr>
        <w:footnoteRef/>
      </w:r>
      <w:r w:rsidRPr="00CF7FA3">
        <w:rPr>
          <w:rFonts w:ascii="Cambria" w:hAnsi="Cambria"/>
          <w:sz w:val="18"/>
          <w:szCs w:val="18"/>
        </w:rPr>
        <w:t xml:space="preserve"> </w:t>
      </w:r>
      <w:r w:rsidRPr="00CF7FA3">
        <w:rPr>
          <w:rFonts w:ascii="Cambria" w:hAnsi="Cambria"/>
          <w:sz w:val="18"/>
          <w:szCs w:val="18"/>
          <w:lang w:val="sl-SI"/>
        </w:rPr>
        <w:t>Izvor: Zavod za zapošljavanje Crne Gore</w:t>
      </w:r>
    </w:p>
  </w:footnote>
  <w:footnote w:id="13">
    <w:p w:rsidR="003F2FAA" w:rsidRPr="000D1BB9" w:rsidRDefault="003F2FAA" w:rsidP="00017100">
      <w:pPr>
        <w:pStyle w:val="FootnoteText"/>
        <w:rPr>
          <w:rFonts w:ascii="Cambria" w:hAnsi="Cambria"/>
          <w:sz w:val="18"/>
          <w:szCs w:val="18"/>
          <w:lang w:val="sl-SI"/>
        </w:rPr>
      </w:pPr>
      <w:r w:rsidRPr="000D1BB9">
        <w:rPr>
          <w:rStyle w:val="FootnoteReference"/>
          <w:rFonts w:ascii="Cambria" w:hAnsi="Cambria"/>
          <w:sz w:val="18"/>
          <w:szCs w:val="18"/>
        </w:rPr>
        <w:footnoteRef/>
      </w:r>
      <w:r w:rsidRPr="000D1BB9">
        <w:rPr>
          <w:rFonts w:ascii="Cambria" w:hAnsi="Cambria"/>
          <w:sz w:val="18"/>
          <w:szCs w:val="18"/>
        </w:rPr>
        <w:t xml:space="preserve"> </w:t>
      </w:r>
      <w:r w:rsidRPr="000D1BB9">
        <w:rPr>
          <w:rFonts w:ascii="Cambria" w:hAnsi="Cambria"/>
          <w:sz w:val="18"/>
          <w:szCs w:val="18"/>
          <w:lang w:val="sl-SI"/>
        </w:rPr>
        <w:t>Usvojen 4. aprila 2019.godine</w:t>
      </w:r>
    </w:p>
  </w:footnote>
  <w:footnote w:id="14">
    <w:p w:rsidR="003F2FAA" w:rsidRPr="005A6943" w:rsidRDefault="003F2FAA" w:rsidP="00017100">
      <w:pPr>
        <w:pStyle w:val="FootnoteText"/>
        <w:rPr>
          <w:rFonts w:ascii="Cambria" w:hAnsi="Cambria"/>
          <w:sz w:val="18"/>
          <w:szCs w:val="18"/>
          <w:lang w:val="sl-SI"/>
        </w:rPr>
      </w:pPr>
      <w:r w:rsidRPr="00CF7FA3">
        <w:rPr>
          <w:rStyle w:val="FootnoteReference"/>
          <w:rFonts w:ascii="Cambria" w:hAnsi="Cambria"/>
          <w:sz w:val="18"/>
          <w:szCs w:val="18"/>
        </w:rPr>
        <w:footnoteRef/>
      </w:r>
      <w:r w:rsidRPr="00CF7FA3">
        <w:rPr>
          <w:rFonts w:ascii="Cambria" w:hAnsi="Cambria"/>
          <w:sz w:val="18"/>
          <w:szCs w:val="18"/>
        </w:rPr>
        <w:t xml:space="preserve"> </w:t>
      </w:r>
      <w:r w:rsidRPr="00CF7FA3">
        <w:rPr>
          <w:rFonts w:ascii="Cambria" w:hAnsi="Cambria"/>
          <w:sz w:val="18"/>
          <w:szCs w:val="18"/>
          <w:lang w:val="sl-SI"/>
        </w:rPr>
        <w:t>Usvojen 4. aprila 2019.godine</w:t>
      </w:r>
    </w:p>
  </w:footnote>
  <w:footnote w:id="15">
    <w:p w:rsidR="003F2FAA" w:rsidRPr="007175D4" w:rsidRDefault="003F2FAA">
      <w:pPr>
        <w:pStyle w:val="FootnoteText"/>
        <w:rPr>
          <w:lang w:val="sl-SI"/>
        </w:rPr>
      </w:pPr>
      <w:r>
        <w:rPr>
          <w:rStyle w:val="FootnoteReference"/>
        </w:rPr>
        <w:footnoteRef/>
      </w:r>
      <w:r>
        <w:t xml:space="preserve"> </w:t>
      </w:r>
      <w:r w:rsidRPr="007175D4">
        <w:rPr>
          <w:rFonts w:ascii="Cambria" w:hAnsi="Cambria"/>
          <w:sz w:val="18"/>
          <w:szCs w:val="18"/>
          <w:lang w:val="sl-SI"/>
        </w:rPr>
        <w:t>Opis mjera: Program rada ZZZCG za 2020.</w:t>
      </w:r>
      <w:r>
        <w:rPr>
          <w:rFonts w:ascii="Cambria" w:hAnsi="Cambria"/>
          <w:sz w:val="18"/>
          <w:szCs w:val="18"/>
          <w:lang w:val="sl-SI"/>
        </w:rPr>
        <w:t xml:space="preserve"> </w:t>
      </w:r>
      <w:r w:rsidRPr="007175D4">
        <w:rPr>
          <w:rFonts w:ascii="Cambria" w:hAnsi="Cambria"/>
          <w:sz w:val="18"/>
          <w:szCs w:val="18"/>
          <w:lang w:val="sl-SI"/>
        </w:rPr>
        <w:t>godinu</w:t>
      </w:r>
    </w:p>
  </w:footnote>
  <w:footnote w:id="16">
    <w:p w:rsidR="003F2FAA" w:rsidRPr="0090441A" w:rsidRDefault="003F2FAA">
      <w:pPr>
        <w:pStyle w:val="FootnoteText"/>
        <w:rPr>
          <w:lang w:val="sl-SI"/>
        </w:rPr>
      </w:pPr>
      <w:r>
        <w:rPr>
          <w:rStyle w:val="FootnoteReference"/>
        </w:rPr>
        <w:footnoteRef/>
      </w:r>
      <w:r>
        <w:t xml:space="preserve"> </w:t>
      </w:r>
      <w:r>
        <w:rPr>
          <w:rFonts w:ascii="Cambria" w:hAnsi="Cambria"/>
          <w:sz w:val="18"/>
          <w:szCs w:val="18"/>
          <w:lang w:val="sl-SI"/>
        </w:rPr>
        <w:t>»</w:t>
      </w:r>
      <w:r w:rsidRPr="0090441A">
        <w:rPr>
          <w:rFonts w:ascii="Cambria" w:hAnsi="Cambria"/>
          <w:sz w:val="18"/>
          <w:szCs w:val="18"/>
          <w:lang w:val="sl-SI"/>
        </w:rPr>
        <w:t>Stop sivoj ekonomiji«</w:t>
      </w:r>
      <w:r>
        <w:rPr>
          <w:rFonts w:ascii="Cambria" w:hAnsi="Cambria"/>
          <w:sz w:val="18"/>
          <w:szCs w:val="18"/>
          <w:lang w:val="sl-SI"/>
        </w:rPr>
        <w:t xml:space="preserve"> 2016-2019; </w:t>
      </w:r>
      <w:r w:rsidRPr="0090441A">
        <w:rPr>
          <w:rFonts w:ascii="Cambria" w:hAnsi="Cambria"/>
          <w:sz w:val="18"/>
          <w:szCs w:val="18"/>
          <w:lang w:val="sl-SI"/>
        </w:rPr>
        <w:t>»Mladi su naš potencijal«</w:t>
      </w:r>
      <w:r>
        <w:rPr>
          <w:rFonts w:ascii="Cambria" w:hAnsi="Cambria"/>
          <w:sz w:val="18"/>
          <w:szCs w:val="18"/>
          <w:lang w:val="sl-SI"/>
        </w:rPr>
        <w:t xml:space="preserve"> 2016; »Osnaži me i uspjeću« 2018.</w:t>
      </w:r>
    </w:p>
  </w:footnote>
  <w:footnote w:id="17">
    <w:p w:rsidR="003F2FAA" w:rsidRPr="000D1BB9" w:rsidRDefault="003F2FAA" w:rsidP="00A726F7">
      <w:pPr>
        <w:pStyle w:val="FootnoteText"/>
        <w:rPr>
          <w:rFonts w:ascii="Cambria" w:hAnsi="Cambria"/>
          <w:sz w:val="18"/>
          <w:szCs w:val="18"/>
          <w:lang w:val="sl-SI"/>
        </w:rPr>
      </w:pPr>
      <w:r w:rsidRPr="000D1BB9">
        <w:rPr>
          <w:rStyle w:val="FootnoteReference"/>
          <w:rFonts w:ascii="Cambria" w:hAnsi="Cambria"/>
          <w:sz w:val="18"/>
          <w:szCs w:val="18"/>
        </w:rPr>
        <w:footnoteRef/>
      </w:r>
      <w:r w:rsidRPr="000D1BB9">
        <w:rPr>
          <w:rFonts w:ascii="Cambria" w:hAnsi="Cambria" w:cs="Times New Roman"/>
          <w:sz w:val="18"/>
          <w:szCs w:val="18"/>
        </w:rPr>
        <w:t>“</w:t>
      </w:r>
      <w:r w:rsidRPr="000D1BB9">
        <w:rPr>
          <w:rFonts w:ascii="Cambria" w:hAnsi="Cambria" w:cs="Arial"/>
          <w:sz w:val="18"/>
          <w:szCs w:val="18"/>
        </w:rPr>
        <w:t>Službeni list CG”, br.49/2008, 73/2010, 39/2011 i 55/2016</w:t>
      </w:r>
    </w:p>
  </w:footnote>
  <w:footnote w:id="18">
    <w:p w:rsidR="003F2FAA" w:rsidRPr="000D1BB9" w:rsidRDefault="003F2FAA" w:rsidP="00A726F7">
      <w:pPr>
        <w:pStyle w:val="FootnoteText"/>
        <w:rPr>
          <w:rFonts w:ascii="Cambria" w:hAnsi="Cambria"/>
          <w:sz w:val="18"/>
          <w:szCs w:val="18"/>
        </w:rPr>
      </w:pPr>
      <w:r w:rsidRPr="000D1BB9">
        <w:rPr>
          <w:rStyle w:val="FootnoteReference"/>
          <w:rFonts w:ascii="Cambria" w:hAnsi="Cambria"/>
          <w:sz w:val="18"/>
          <w:szCs w:val="18"/>
        </w:rPr>
        <w:footnoteRef/>
      </w:r>
      <w:r w:rsidRPr="000D1BB9">
        <w:rPr>
          <w:rFonts w:ascii="Cambria" w:hAnsi="Cambria"/>
          <w:sz w:val="18"/>
          <w:szCs w:val="18"/>
        </w:rPr>
        <w:t xml:space="preserve"> Zavod za zapošljavanje Crne Gore (2019) Izvještaj o radu za 2019. godinu, str. 31.</w:t>
      </w:r>
    </w:p>
  </w:footnote>
  <w:footnote w:id="19">
    <w:p w:rsidR="003F2FAA" w:rsidRPr="00A329AD" w:rsidRDefault="003F2FAA" w:rsidP="00E3466A">
      <w:pPr>
        <w:pStyle w:val="FootnoteText"/>
        <w:rPr>
          <w:lang w:val="sl-SI"/>
        </w:rPr>
      </w:pPr>
      <w:r>
        <w:rPr>
          <w:rStyle w:val="FootnoteReference"/>
        </w:rPr>
        <w:footnoteRef/>
      </w:r>
      <w:r>
        <w:t xml:space="preserve"> </w:t>
      </w:r>
      <w:r w:rsidRPr="00A329AD">
        <w:rPr>
          <w:rFonts w:ascii="Cambria" w:hAnsi="Cambria"/>
          <w:sz w:val="18"/>
          <w:szCs w:val="18"/>
          <w:lang w:val="sl-SI"/>
        </w:rPr>
        <w:t>Informaciju pripremili su predstavnici ZZZCG Područna jedinica Podgorica</w:t>
      </w:r>
    </w:p>
  </w:footnote>
  <w:footnote w:id="20">
    <w:p w:rsidR="003F2FAA" w:rsidRPr="00B558BB" w:rsidRDefault="003F2FAA" w:rsidP="00E3466A">
      <w:pPr>
        <w:pStyle w:val="FootnoteText"/>
        <w:rPr>
          <w:rFonts w:ascii="Cambria" w:hAnsi="Cambria"/>
          <w:sz w:val="18"/>
          <w:szCs w:val="18"/>
          <w:lang w:val="sl-SI"/>
        </w:rPr>
      </w:pPr>
      <w:r w:rsidRPr="00B558BB">
        <w:rPr>
          <w:rStyle w:val="FootnoteReference"/>
          <w:rFonts w:ascii="Cambria" w:hAnsi="Cambria"/>
          <w:sz w:val="18"/>
          <w:szCs w:val="18"/>
        </w:rPr>
        <w:footnoteRef/>
      </w:r>
      <w:r w:rsidRPr="00B558BB">
        <w:rPr>
          <w:rFonts w:ascii="Cambria" w:hAnsi="Cambria"/>
          <w:sz w:val="18"/>
          <w:szCs w:val="18"/>
        </w:rPr>
        <w:t xml:space="preserve"> </w:t>
      </w:r>
      <w:r w:rsidRPr="00B558BB">
        <w:rPr>
          <w:rFonts w:ascii="Cambria" w:hAnsi="Cambria"/>
          <w:sz w:val="18"/>
          <w:szCs w:val="18"/>
          <w:lang w:val="sl-SI"/>
        </w:rPr>
        <w:t>Strategija pametne specijalizacije Crne gore 2019-2024</w:t>
      </w:r>
    </w:p>
  </w:footnote>
  <w:footnote w:id="21">
    <w:p w:rsidR="003F2FAA" w:rsidRPr="007175D4" w:rsidRDefault="003F2FAA" w:rsidP="00E3466A">
      <w:pPr>
        <w:pStyle w:val="FootnoteText"/>
        <w:rPr>
          <w:rFonts w:ascii="Cambria" w:hAnsi="Cambria"/>
          <w:sz w:val="18"/>
          <w:szCs w:val="18"/>
          <w:lang w:val="sl-SI"/>
        </w:rPr>
      </w:pPr>
      <w:r w:rsidRPr="00925E36">
        <w:rPr>
          <w:rStyle w:val="FootnoteReference"/>
          <w:rFonts w:ascii="Cambria" w:hAnsi="Cambria"/>
          <w:color w:val="2F5496" w:themeColor="accent1" w:themeShade="BF"/>
          <w:sz w:val="18"/>
          <w:szCs w:val="18"/>
        </w:rPr>
        <w:footnoteRef/>
      </w:r>
      <w:r w:rsidRPr="00007364">
        <w:rPr>
          <w:rFonts w:ascii="Cambria" w:hAnsi="Cambria"/>
          <w:color w:val="2F5496" w:themeColor="accent1" w:themeShade="BF"/>
          <w:sz w:val="18"/>
          <w:szCs w:val="18"/>
        </w:rPr>
        <w:t xml:space="preserve">  </w:t>
      </w:r>
      <w:hyperlink r:id="rId1" w:tgtFrame="_blank" w:history="1">
        <w:r w:rsidRPr="007175D4">
          <w:rPr>
            <w:rStyle w:val="Hyperlink"/>
            <w:rFonts w:ascii="Cambria" w:hAnsi="Cambria" w:cs="Courier New"/>
            <w:color w:val="2F5496" w:themeColor="accent1" w:themeShade="BF"/>
            <w:sz w:val="18"/>
            <w:szCs w:val="18"/>
            <w:shd w:val="clear" w:color="auto" w:fill="FFFFFF"/>
          </w:rPr>
          <w:t>https://mps.gov.me/rubrike/obrazovanje-odraslih</w:t>
        </w:r>
      </w:hyperlink>
    </w:p>
  </w:footnote>
  <w:footnote w:id="22">
    <w:p w:rsidR="003F2FAA" w:rsidRPr="007175D4" w:rsidRDefault="003F2FAA" w:rsidP="00E3466A">
      <w:pPr>
        <w:pStyle w:val="FootnoteText"/>
        <w:rPr>
          <w:rFonts w:ascii="Cambria" w:hAnsi="Cambria"/>
          <w:sz w:val="18"/>
          <w:szCs w:val="18"/>
          <w:lang w:val="sl-SI"/>
        </w:rPr>
      </w:pPr>
      <w:r w:rsidRPr="007175D4">
        <w:rPr>
          <w:rStyle w:val="FootnoteReference"/>
          <w:rFonts w:ascii="Cambria" w:hAnsi="Cambria"/>
          <w:sz w:val="18"/>
          <w:szCs w:val="18"/>
        </w:rPr>
        <w:footnoteRef/>
      </w:r>
      <w:r w:rsidRPr="007175D4">
        <w:rPr>
          <w:rFonts w:ascii="Cambria" w:hAnsi="Cambria"/>
          <w:sz w:val="18"/>
          <w:szCs w:val="18"/>
        </w:rPr>
        <w:t xml:space="preserve"> https://centrikom.org/crnagora/</w:t>
      </w:r>
    </w:p>
  </w:footnote>
  <w:footnote w:id="23">
    <w:p w:rsidR="003F2FAA" w:rsidRPr="007175D4" w:rsidRDefault="003F2FAA" w:rsidP="00E3466A">
      <w:pPr>
        <w:pStyle w:val="FootnoteText"/>
        <w:rPr>
          <w:rFonts w:ascii="Cambria" w:hAnsi="Cambria"/>
          <w:sz w:val="18"/>
          <w:szCs w:val="18"/>
          <w:lang w:val="sl-SI"/>
        </w:rPr>
      </w:pPr>
      <w:r w:rsidRPr="007175D4">
        <w:rPr>
          <w:rStyle w:val="FootnoteReference"/>
          <w:rFonts w:ascii="Cambria" w:hAnsi="Cambria"/>
          <w:sz w:val="18"/>
          <w:szCs w:val="18"/>
        </w:rPr>
        <w:footnoteRef/>
      </w:r>
      <w:r w:rsidRPr="007175D4">
        <w:rPr>
          <w:rFonts w:ascii="Cambria" w:hAnsi="Cambria"/>
          <w:sz w:val="18"/>
          <w:szCs w:val="18"/>
        </w:rPr>
        <w:t xml:space="preserve"> </w:t>
      </w:r>
      <w:r w:rsidRPr="007175D4">
        <w:rPr>
          <w:rFonts w:ascii="Cambria" w:hAnsi="Cambria"/>
          <w:sz w:val="18"/>
          <w:szCs w:val="18"/>
          <w:lang w:val="sl-SI"/>
        </w:rPr>
        <w:t>Statistika dohotka i uslova života, MONSTAT, 2018</w:t>
      </w:r>
    </w:p>
  </w:footnote>
  <w:footnote w:id="24">
    <w:p w:rsidR="003F2FAA" w:rsidRPr="007A7937" w:rsidRDefault="003F2FAA" w:rsidP="00E3466A">
      <w:pPr>
        <w:pStyle w:val="FootnoteText"/>
        <w:rPr>
          <w:rFonts w:ascii="Cambria" w:hAnsi="Cambria"/>
          <w:sz w:val="18"/>
          <w:szCs w:val="18"/>
          <w:lang w:val="sl-SI"/>
        </w:rPr>
      </w:pPr>
      <w:r>
        <w:rPr>
          <w:rStyle w:val="FootnoteReference"/>
        </w:rPr>
        <w:footnoteRef/>
      </w:r>
      <w:r>
        <w:t xml:space="preserve"> </w:t>
      </w:r>
      <w:r w:rsidRPr="007A7937">
        <w:rPr>
          <w:rFonts w:ascii="Cambria" w:hAnsi="Cambria"/>
          <w:sz w:val="18"/>
          <w:szCs w:val="18"/>
          <w:lang w:val="sl-SI"/>
        </w:rPr>
        <w:t>Strateški plan razvoja Glavnog grada Podgorica</w:t>
      </w:r>
      <w:r>
        <w:rPr>
          <w:rFonts w:ascii="Cambria" w:hAnsi="Cambria"/>
          <w:sz w:val="18"/>
          <w:szCs w:val="18"/>
          <w:lang w:val="sl-SI"/>
        </w:rPr>
        <w:t xml:space="preserve"> 2019-2024</w:t>
      </w:r>
    </w:p>
  </w:footnote>
  <w:footnote w:id="25">
    <w:p w:rsidR="003F2FAA" w:rsidRPr="00041E3B" w:rsidRDefault="003F2FAA">
      <w:pPr>
        <w:pStyle w:val="FootnoteText"/>
        <w:rPr>
          <w:rFonts w:ascii="Cambria" w:hAnsi="Cambria"/>
          <w:sz w:val="18"/>
          <w:szCs w:val="18"/>
          <w:lang w:val="sl-SI"/>
        </w:rPr>
      </w:pPr>
      <w:r w:rsidRPr="00041E3B">
        <w:rPr>
          <w:rStyle w:val="FootnoteReference"/>
          <w:rFonts w:ascii="Cambria" w:hAnsi="Cambria"/>
          <w:sz w:val="18"/>
          <w:szCs w:val="18"/>
        </w:rPr>
        <w:footnoteRef/>
      </w:r>
      <w:r w:rsidRPr="00041E3B">
        <w:rPr>
          <w:rFonts w:ascii="Cambria" w:hAnsi="Cambria"/>
          <w:sz w:val="18"/>
          <w:szCs w:val="18"/>
        </w:rPr>
        <w:t xml:space="preserve"> </w:t>
      </w:r>
      <w:r w:rsidRPr="00041E3B">
        <w:rPr>
          <w:rFonts w:ascii="Cambria" w:hAnsi="Cambria"/>
          <w:sz w:val="18"/>
          <w:szCs w:val="18"/>
          <w:lang w:val="sl-SI"/>
        </w:rPr>
        <w:t>Mjere aktivne politike zapošljavanja</w:t>
      </w:r>
      <w:r>
        <w:rPr>
          <w:rFonts w:ascii="Cambria" w:hAnsi="Cambria"/>
          <w:sz w:val="18"/>
          <w:szCs w:val="18"/>
          <w:lang w:val="sl-SI"/>
        </w:rPr>
        <w:t xml:space="preserve">, koje sprovodi Zavod za zapošljavanje Crne Gore </w:t>
      </w:r>
      <w:r w:rsidRPr="00041E3B">
        <w:rPr>
          <w:rFonts w:ascii="Cambria" w:hAnsi="Cambria"/>
          <w:sz w:val="18"/>
          <w:szCs w:val="18"/>
          <w:lang w:val="sl-SI"/>
        </w:rPr>
        <w:t xml:space="preserve">predložene su u skladu sa Programom rada ZZZCG za 2021. godinu. </w:t>
      </w:r>
      <w:r>
        <w:rPr>
          <w:rFonts w:ascii="Cambria" w:hAnsi="Cambria"/>
          <w:sz w:val="18"/>
          <w:szCs w:val="18"/>
          <w:lang w:val="sl-SI"/>
        </w:rPr>
        <w:t xml:space="preserve">Izvor: </w:t>
      </w:r>
      <w:r w:rsidRPr="00041E3B">
        <w:rPr>
          <w:rFonts w:ascii="Cambria" w:hAnsi="Cambria"/>
          <w:sz w:val="18"/>
          <w:szCs w:val="18"/>
          <w:lang w:val="sl-SI"/>
        </w:rPr>
        <w:t>https://www.zzzcg.me/wp-content/uploads/2021/03/PROGRAM-RADA-2021.-godina-12.02.2021.pdf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AA" w:rsidRPr="004032F1" w:rsidRDefault="003F2FAA" w:rsidP="006A4215">
    <w:pPr>
      <w:pStyle w:val="Header"/>
      <w:jc w:val="center"/>
    </w:pPr>
    <w:r>
      <w:t>Strategija zapošljavanja Glavnog grada Podgorica</w:t>
    </w:r>
    <w:r w:rsidR="00C97E0B">
      <w:t xml:space="preserve"> 2021 -2025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C8D"/>
    <w:multiLevelType w:val="hybridMultilevel"/>
    <w:tmpl w:val="F0B6FEF0"/>
    <w:lvl w:ilvl="0" w:tplc="04090001">
      <w:start w:val="1"/>
      <w:numFmt w:val="bullet"/>
      <w:lvlText w:val=""/>
      <w:lvlJc w:val="left"/>
      <w:pPr>
        <w:ind w:left="720" w:hanging="360"/>
      </w:pPr>
      <w:rPr>
        <w:rFonts w:ascii="Symbol" w:hAnsi="Symbol" w:hint="default"/>
      </w:rPr>
    </w:lvl>
    <w:lvl w:ilvl="1" w:tplc="87EA7E5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A7428"/>
    <w:multiLevelType w:val="hybridMultilevel"/>
    <w:tmpl w:val="1F4285D4"/>
    <w:lvl w:ilvl="0" w:tplc="50D2002E">
      <w:start w:val="3"/>
      <w:numFmt w:val="bullet"/>
      <w:lvlText w:val="-"/>
      <w:lvlJc w:val="left"/>
      <w:pPr>
        <w:ind w:left="720" w:hanging="360"/>
      </w:pPr>
      <w:rPr>
        <w:rFonts w:ascii="Cambria" w:eastAsiaTheme="minorHAnsi"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9497277"/>
    <w:multiLevelType w:val="hybridMultilevel"/>
    <w:tmpl w:val="3578B5F2"/>
    <w:lvl w:ilvl="0" w:tplc="04240005">
      <w:start w:val="1"/>
      <w:numFmt w:val="bullet"/>
      <w:lvlText w:val=""/>
      <w:lvlJc w:val="left"/>
      <w:pPr>
        <w:ind w:left="719" w:hanging="360"/>
      </w:pPr>
      <w:rPr>
        <w:rFonts w:ascii="Wingdings" w:hAnsi="Wingdings" w:hint="default"/>
      </w:rPr>
    </w:lvl>
    <w:lvl w:ilvl="1" w:tplc="04240003" w:tentative="1">
      <w:start w:val="1"/>
      <w:numFmt w:val="bullet"/>
      <w:lvlText w:val="o"/>
      <w:lvlJc w:val="left"/>
      <w:pPr>
        <w:ind w:left="1439" w:hanging="360"/>
      </w:pPr>
      <w:rPr>
        <w:rFonts w:ascii="Courier New" w:hAnsi="Courier New" w:cs="Courier New" w:hint="default"/>
      </w:rPr>
    </w:lvl>
    <w:lvl w:ilvl="2" w:tplc="04240005" w:tentative="1">
      <w:start w:val="1"/>
      <w:numFmt w:val="bullet"/>
      <w:lvlText w:val=""/>
      <w:lvlJc w:val="left"/>
      <w:pPr>
        <w:ind w:left="2159" w:hanging="360"/>
      </w:pPr>
      <w:rPr>
        <w:rFonts w:ascii="Wingdings" w:hAnsi="Wingdings" w:hint="default"/>
      </w:rPr>
    </w:lvl>
    <w:lvl w:ilvl="3" w:tplc="04240001" w:tentative="1">
      <w:start w:val="1"/>
      <w:numFmt w:val="bullet"/>
      <w:lvlText w:val=""/>
      <w:lvlJc w:val="left"/>
      <w:pPr>
        <w:ind w:left="2879" w:hanging="360"/>
      </w:pPr>
      <w:rPr>
        <w:rFonts w:ascii="Symbol" w:hAnsi="Symbol" w:hint="default"/>
      </w:rPr>
    </w:lvl>
    <w:lvl w:ilvl="4" w:tplc="04240003" w:tentative="1">
      <w:start w:val="1"/>
      <w:numFmt w:val="bullet"/>
      <w:lvlText w:val="o"/>
      <w:lvlJc w:val="left"/>
      <w:pPr>
        <w:ind w:left="3599" w:hanging="360"/>
      </w:pPr>
      <w:rPr>
        <w:rFonts w:ascii="Courier New" w:hAnsi="Courier New" w:cs="Courier New" w:hint="default"/>
      </w:rPr>
    </w:lvl>
    <w:lvl w:ilvl="5" w:tplc="04240005" w:tentative="1">
      <w:start w:val="1"/>
      <w:numFmt w:val="bullet"/>
      <w:lvlText w:val=""/>
      <w:lvlJc w:val="left"/>
      <w:pPr>
        <w:ind w:left="4319" w:hanging="360"/>
      </w:pPr>
      <w:rPr>
        <w:rFonts w:ascii="Wingdings" w:hAnsi="Wingdings" w:hint="default"/>
      </w:rPr>
    </w:lvl>
    <w:lvl w:ilvl="6" w:tplc="04240001" w:tentative="1">
      <w:start w:val="1"/>
      <w:numFmt w:val="bullet"/>
      <w:lvlText w:val=""/>
      <w:lvlJc w:val="left"/>
      <w:pPr>
        <w:ind w:left="5039" w:hanging="360"/>
      </w:pPr>
      <w:rPr>
        <w:rFonts w:ascii="Symbol" w:hAnsi="Symbol" w:hint="default"/>
      </w:rPr>
    </w:lvl>
    <w:lvl w:ilvl="7" w:tplc="04240003" w:tentative="1">
      <w:start w:val="1"/>
      <w:numFmt w:val="bullet"/>
      <w:lvlText w:val="o"/>
      <w:lvlJc w:val="left"/>
      <w:pPr>
        <w:ind w:left="5759" w:hanging="360"/>
      </w:pPr>
      <w:rPr>
        <w:rFonts w:ascii="Courier New" w:hAnsi="Courier New" w:cs="Courier New" w:hint="default"/>
      </w:rPr>
    </w:lvl>
    <w:lvl w:ilvl="8" w:tplc="04240005" w:tentative="1">
      <w:start w:val="1"/>
      <w:numFmt w:val="bullet"/>
      <w:lvlText w:val=""/>
      <w:lvlJc w:val="left"/>
      <w:pPr>
        <w:ind w:left="6479" w:hanging="360"/>
      </w:pPr>
      <w:rPr>
        <w:rFonts w:ascii="Wingdings" w:hAnsi="Wingdings" w:hint="default"/>
      </w:rPr>
    </w:lvl>
  </w:abstractNum>
  <w:abstractNum w:abstractNumId="3">
    <w:nsid w:val="0B5C6C26"/>
    <w:multiLevelType w:val="hybridMultilevel"/>
    <w:tmpl w:val="3924659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660054"/>
    <w:multiLevelType w:val="hybridMultilevel"/>
    <w:tmpl w:val="AB1CD990"/>
    <w:lvl w:ilvl="0" w:tplc="0424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364EC"/>
    <w:multiLevelType w:val="hybridMultilevel"/>
    <w:tmpl w:val="0C988F8A"/>
    <w:lvl w:ilvl="0" w:tplc="0424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070574"/>
    <w:multiLevelType w:val="hybridMultilevel"/>
    <w:tmpl w:val="B60A1A3A"/>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510E4"/>
    <w:multiLevelType w:val="hybridMultilevel"/>
    <w:tmpl w:val="513A9FCE"/>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E07AF"/>
    <w:multiLevelType w:val="hybridMultilevel"/>
    <w:tmpl w:val="F23EE742"/>
    <w:lvl w:ilvl="0" w:tplc="0424000F">
      <w:start w:val="1"/>
      <w:numFmt w:val="decimal"/>
      <w:lvlText w:val="%1."/>
      <w:lvlJc w:val="left"/>
      <w:pPr>
        <w:ind w:left="512" w:hanging="360"/>
      </w:pPr>
    </w:lvl>
    <w:lvl w:ilvl="1" w:tplc="04240019" w:tentative="1">
      <w:start w:val="1"/>
      <w:numFmt w:val="lowerLetter"/>
      <w:lvlText w:val="%2."/>
      <w:lvlJc w:val="left"/>
      <w:pPr>
        <w:ind w:left="1232" w:hanging="360"/>
      </w:pPr>
    </w:lvl>
    <w:lvl w:ilvl="2" w:tplc="0424001B" w:tentative="1">
      <w:start w:val="1"/>
      <w:numFmt w:val="lowerRoman"/>
      <w:lvlText w:val="%3."/>
      <w:lvlJc w:val="right"/>
      <w:pPr>
        <w:ind w:left="1952" w:hanging="180"/>
      </w:pPr>
    </w:lvl>
    <w:lvl w:ilvl="3" w:tplc="0424000F" w:tentative="1">
      <w:start w:val="1"/>
      <w:numFmt w:val="decimal"/>
      <w:lvlText w:val="%4."/>
      <w:lvlJc w:val="left"/>
      <w:pPr>
        <w:ind w:left="2672" w:hanging="360"/>
      </w:pPr>
    </w:lvl>
    <w:lvl w:ilvl="4" w:tplc="04240019" w:tentative="1">
      <w:start w:val="1"/>
      <w:numFmt w:val="lowerLetter"/>
      <w:lvlText w:val="%5."/>
      <w:lvlJc w:val="left"/>
      <w:pPr>
        <w:ind w:left="3392" w:hanging="360"/>
      </w:pPr>
    </w:lvl>
    <w:lvl w:ilvl="5" w:tplc="0424001B" w:tentative="1">
      <w:start w:val="1"/>
      <w:numFmt w:val="lowerRoman"/>
      <w:lvlText w:val="%6."/>
      <w:lvlJc w:val="right"/>
      <w:pPr>
        <w:ind w:left="4112" w:hanging="180"/>
      </w:pPr>
    </w:lvl>
    <w:lvl w:ilvl="6" w:tplc="0424000F" w:tentative="1">
      <w:start w:val="1"/>
      <w:numFmt w:val="decimal"/>
      <w:lvlText w:val="%7."/>
      <w:lvlJc w:val="left"/>
      <w:pPr>
        <w:ind w:left="4832" w:hanging="360"/>
      </w:pPr>
    </w:lvl>
    <w:lvl w:ilvl="7" w:tplc="04240019" w:tentative="1">
      <w:start w:val="1"/>
      <w:numFmt w:val="lowerLetter"/>
      <w:lvlText w:val="%8."/>
      <w:lvlJc w:val="left"/>
      <w:pPr>
        <w:ind w:left="5552" w:hanging="360"/>
      </w:pPr>
    </w:lvl>
    <w:lvl w:ilvl="8" w:tplc="0424001B" w:tentative="1">
      <w:start w:val="1"/>
      <w:numFmt w:val="lowerRoman"/>
      <w:lvlText w:val="%9."/>
      <w:lvlJc w:val="right"/>
      <w:pPr>
        <w:ind w:left="6272" w:hanging="180"/>
      </w:pPr>
    </w:lvl>
  </w:abstractNum>
  <w:abstractNum w:abstractNumId="9">
    <w:nsid w:val="13973A01"/>
    <w:multiLevelType w:val="hybridMultilevel"/>
    <w:tmpl w:val="D99604FE"/>
    <w:lvl w:ilvl="0" w:tplc="E6E4664E">
      <w:start w:val="1"/>
      <w:numFmt w:val="bullet"/>
      <w:lvlText w:val=""/>
      <w:lvlJc w:val="left"/>
      <w:pPr>
        <w:tabs>
          <w:tab w:val="num" w:pos="720"/>
        </w:tabs>
        <w:ind w:left="720" w:hanging="360"/>
      </w:pPr>
      <w:rPr>
        <w:rFonts w:ascii="Wingdings" w:hAnsi="Wingdings" w:hint="default"/>
      </w:rPr>
    </w:lvl>
    <w:lvl w:ilvl="1" w:tplc="176E39BE" w:tentative="1">
      <w:start w:val="1"/>
      <w:numFmt w:val="bullet"/>
      <w:lvlText w:val=""/>
      <w:lvlJc w:val="left"/>
      <w:pPr>
        <w:tabs>
          <w:tab w:val="num" w:pos="1440"/>
        </w:tabs>
        <w:ind w:left="1440" w:hanging="360"/>
      </w:pPr>
      <w:rPr>
        <w:rFonts w:ascii="Wingdings" w:hAnsi="Wingdings" w:hint="default"/>
      </w:rPr>
    </w:lvl>
    <w:lvl w:ilvl="2" w:tplc="80DE50FA" w:tentative="1">
      <w:start w:val="1"/>
      <w:numFmt w:val="bullet"/>
      <w:lvlText w:val=""/>
      <w:lvlJc w:val="left"/>
      <w:pPr>
        <w:tabs>
          <w:tab w:val="num" w:pos="2160"/>
        </w:tabs>
        <w:ind w:left="2160" w:hanging="360"/>
      </w:pPr>
      <w:rPr>
        <w:rFonts w:ascii="Wingdings" w:hAnsi="Wingdings" w:hint="default"/>
      </w:rPr>
    </w:lvl>
    <w:lvl w:ilvl="3" w:tplc="0896E36A" w:tentative="1">
      <w:start w:val="1"/>
      <w:numFmt w:val="bullet"/>
      <w:lvlText w:val=""/>
      <w:lvlJc w:val="left"/>
      <w:pPr>
        <w:tabs>
          <w:tab w:val="num" w:pos="2880"/>
        </w:tabs>
        <w:ind w:left="2880" w:hanging="360"/>
      </w:pPr>
      <w:rPr>
        <w:rFonts w:ascii="Wingdings" w:hAnsi="Wingdings" w:hint="default"/>
      </w:rPr>
    </w:lvl>
    <w:lvl w:ilvl="4" w:tplc="0F58FFFA" w:tentative="1">
      <w:start w:val="1"/>
      <w:numFmt w:val="bullet"/>
      <w:lvlText w:val=""/>
      <w:lvlJc w:val="left"/>
      <w:pPr>
        <w:tabs>
          <w:tab w:val="num" w:pos="3600"/>
        </w:tabs>
        <w:ind w:left="3600" w:hanging="360"/>
      </w:pPr>
      <w:rPr>
        <w:rFonts w:ascii="Wingdings" w:hAnsi="Wingdings" w:hint="default"/>
      </w:rPr>
    </w:lvl>
    <w:lvl w:ilvl="5" w:tplc="C0446A3A" w:tentative="1">
      <w:start w:val="1"/>
      <w:numFmt w:val="bullet"/>
      <w:lvlText w:val=""/>
      <w:lvlJc w:val="left"/>
      <w:pPr>
        <w:tabs>
          <w:tab w:val="num" w:pos="4320"/>
        </w:tabs>
        <w:ind w:left="4320" w:hanging="360"/>
      </w:pPr>
      <w:rPr>
        <w:rFonts w:ascii="Wingdings" w:hAnsi="Wingdings" w:hint="default"/>
      </w:rPr>
    </w:lvl>
    <w:lvl w:ilvl="6" w:tplc="C20A917A" w:tentative="1">
      <w:start w:val="1"/>
      <w:numFmt w:val="bullet"/>
      <w:lvlText w:val=""/>
      <w:lvlJc w:val="left"/>
      <w:pPr>
        <w:tabs>
          <w:tab w:val="num" w:pos="5040"/>
        </w:tabs>
        <w:ind w:left="5040" w:hanging="360"/>
      </w:pPr>
      <w:rPr>
        <w:rFonts w:ascii="Wingdings" w:hAnsi="Wingdings" w:hint="default"/>
      </w:rPr>
    </w:lvl>
    <w:lvl w:ilvl="7" w:tplc="6C0A3D0E" w:tentative="1">
      <w:start w:val="1"/>
      <w:numFmt w:val="bullet"/>
      <w:lvlText w:val=""/>
      <w:lvlJc w:val="left"/>
      <w:pPr>
        <w:tabs>
          <w:tab w:val="num" w:pos="5760"/>
        </w:tabs>
        <w:ind w:left="5760" w:hanging="360"/>
      </w:pPr>
      <w:rPr>
        <w:rFonts w:ascii="Wingdings" w:hAnsi="Wingdings" w:hint="default"/>
      </w:rPr>
    </w:lvl>
    <w:lvl w:ilvl="8" w:tplc="A5286180" w:tentative="1">
      <w:start w:val="1"/>
      <w:numFmt w:val="bullet"/>
      <w:lvlText w:val=""/>
      <w:lvlJc w:val="left"/>
      <w:pPr>
        <w:tabs>
          <w:tab w:val="num" w:pos="6480"/>
        </w:tabs>
        <w:ind w:left="6480" w:hanging="360"/>
      </w:pPr>
      <w:rPr>
        <w:rFonts w:ascii="Wingdings" w:hAnsi="Wingdings" w:hint="default"/>
      </w:rPr>
    </w:lvl>
  </w:abstractNum>
  <w:abstractNum w:abstractNumId="10">
    <w:nsid w:val="18791174"/>
    <w:multiLevelType w:val="hybridMultilevel"/>
    <w:tmpl w:val="B75490E6"/>
    <w:lvl w:ilvl="0" w:tplc="4F8C0ACC">
      <w:start w:val="6"/>
      <w:numFmt w:val="decimal"/>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1">
    <w:nsid w:val="19E04B3E"/>
    <w:multiLevelType w:val="hybridMultilevel"/>
    <w:tmpl w:val="86169508"/>
    <w:lvl w:ilvl="0" w:tplc="042F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52602"/>
    <w:multiLevelType w:val="hybridMultilevel"/>
    <w:tmpl w:val="250C8C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BA71139"/>
    <w:multiLevelType w:val="hybridMultilevel"/>
    <w:tmpl w:val="F1529518"/>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2DDA3462"/>
    <w:multiLevelType w:val="hybridMultilevel"/>
    <w:tmpl w:val="A6B04B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6E5EA6"/>
    <w:multiLevelType w:val="hybridMultilevel"/>
    <w:tmpl w:val="D2DE1DBE"/>
    <w:lvl w:ilvl="0" w:tplc="1C509E7E">
      <w:start w:val="1"/>
      <w:numFmt w:val="bullet"/>
      <w:lvlText w:val=""/>
      <w:lvlJc w:val="left"/>
      <w:pPr>
        <w:tabs>
          <w:tab w:val="num" w:pos="720"/>
        </w:tabs>
        <w:ind w:left="720" w:hanging="360"/>
      </w:pPr>
      <w:rPr>
        <w:rFonts w:ascii="Wingdings" w:hAnsi="Wingdings" w:hint="default"/>
      </w:rPr>
    </w:lvl>
    <w:lvl w:ilvl="1" w:tplc="B5A28FB0" w:tentative="1">
      <w:start w:val="1"/>
      <w:numFmt w:val="bullet"/>
      <w:lvlText w:val=""/>
      <w:lvlJc w:val="left"/>
      <w:pPr>
        <w:tabs>
          <w:tab w:val="num" w:pos="1440"/>
        </w:tabs>
        <w:ind w:left="1440" w:hanging="360"/>
      </w:pPr>
      <w:rPr>
        <w:rFonts w:ascii="Wingdings" w:hAnsi="Wingdings" w:hint="default"/>
      </w:rPr>
    </w:lvl>
    <w:lvl w:ilvl="2" w:tplc="DD14036A" w:tentative="1">
      <w:start w:val="1"/>
      <w:numFmt w:val="bullet"/>
      <w:lvlText w:val=""/>
      <w:lvlJc w:val="left"/>
      <w:pPr>
        <w:tabs>
          <w:tab w:val="num" w:pos="2160"/>
        </w:tabs>
        <w:ind w:left="2160" w:hanging="360"/>
      </w:pPr>
      <w:rPr>
        <w:rFonts w:ascii="Wingdings" w:hAnsi="Wingdings" w:hint="default"/>
      </w:rPr>
    </w:lvl>
    <w:lvl w:ilvl="3" w:tplc="5CBC1CE2" w:tentative="1">
      <w:start w:val="1"/>
      <w:numFmt w:val="bullet"/>
      <w:lvlText w:val=""/>
      <w:lvlJc w:val="left"/>
      <w:pPr>
        <w:tabs>
          <w:tab w:val="num" w:pos="2880"/>
        </w:tabs>
        <w:ind w:left="2880" w:hanging="360"/>
      </w:pPr>
      <w:rPr>
        <w:rFonts w:ascii="Wingdings" w:hAnsi="Wingdings" w:hint="default"/>
      </w:rPr>
    </w:lvl>
    <w:lvl w:ilvl="4" w:tplc="666E15E4" w:tentative="1">
      <w:start w:val="1"/>
      <w:numFmt w:val="bullet"/>
      <w:lvlText w:val=""/>
      <w:lvlJc w:val="left"/>
      <w:pPr>
        <w:tabs>
          <w:tab w:val="num" w:pos="3600"/>
        </w:tabs>
        <w:ind w:left="3600" w:hanging="360"/>
      </w:pPr>
      <w:rPr>
        <w:rFonts w:ascii="Wingdings" w:hAnsi="Wingdings" w:hint="default"/>
      </w:rPr>
    </w:lvl>
    <w:lvl w:ilvl="5" w:tplc="3C62FF70" w:tentative="1">
      <w:start w:val="1"/>
      <w:numFmt w:val="bullet"/>
      <w:lvlText w:val=""/>
      <w:lvlJc w:val="left"/>
      <w:pPr>
        <w:tabs>
          <w:tab w:val="num" w:pos="4320"/>
        </w:tabs>
        <w:ind w:left="4320" w:hanging="360"/>
      </w:pPr>
      <w:rPr>
        <w:rFonts w:ascii="Wingdings" w:hAnsi="Wingdings" w:hint="default"/>
      </w:rPr>
    </w:lvl>
    <w:lvl w:ilvl="6" w:tplc="F5927DC4" w:tentative="1">
      <w:start w:val="1"/>
      <w:numFmt w:val="bullet"/>
      <w:lvlText w:val=""/>
      <w:lvlJc w:val="left"/>
      <w:pPr>
        <w:tabs>
          <w:tab w:val="num" w:pos="5040"/>
        </w:tabs>
        <w:ind w:left="5040" w:hanging="360"/>
      </w:pPr>
      <w:rPr>
        <w:rFonts w:ascii="Wingdings" w:hAnsi="Wingdings" w:hint="default"/>
      </w:rPr>
    </w:lvl>
    <w:lvl w:ilvl="7" w:tplc="2E7A7070" w:tentative="1">
      <w:start w:val="1"/>
      <w:numFmt w:val="bullet"/>
      <w:lvlText w:val=""/>
      <w:lvlJc w:val="left"/>
      <w:pPr>
        <w:tabs>
          <w:tab w:val="num" w:pos="5760"/>
        </w:tabs>
        <w:ind w:left="5760" w:hanging="360"/>
      </w:pPr>
      <w:rPr>
        <w:rFonts w:ascii="Wingdings" w:hAnsi="Wingdings" w:hint="default"/>
      </w:rPr>
    </w:lvl>
    <w:lvl w:ilvl="8" w:tplc="10A60832" w:tentative="1">
      <w:start w:val="1"/>
      <w:numFmt w:val="bullet"/>
      <w:lvlText w:val=""/>
      <w:lvlJc w:val="left"/>
      <w:pPr>
        <w:tabs>
          <w:tab w:val="num" w:pos="6480"/>
        </w:tabs>
        <w:ind w:left="6480" w:hanging="360"/>
      </w:pPr>
      <w:rPr>
        <w:rFonts w:ascii="Wingdings" w:hAnsi="Wingdings" w:hint="default"/>
      </w:rPr>
    </w:lvl>
  </w:abstractNum>
  <w:abstractNum w:abstractNumId="16">
    <w:nsid w:val="2EB479BD"/>
    <w:multiLevelType w:val="hybridMultilevel"/>
    <w:tmpl w:val="50D20192"/>
    <w:lvl w:ilvl="0" w:tplc="A5D68668">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E651FC"/>
    <w:multiLevelType w:val="hybridMultilevel"/>
    <w:tmpl w:val="A4168358"/>
    <w:lvl w:ilvl="0" w:tplc="5B72C0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76E55"/>
    <w:multiLevelType w:val="hybridMultilevel"/>
    <w:tmpl w:val="030AE938"/>
    <w:lvl w:ilvl="0" w:tplc="0424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2497E"/>
    <w:multiLevelType w:val="multilevel"/>
    <w:tmpl w:val="8564B362"/>
    <w:lvl w:ilvl="0">
      <w:start w:val="1"/>
      <w:numFmt w:val="decimal"/>
      <w:pStyle w:val="Heading1"/>
      <w:lvlText w:val="%1."/>
      <w:lvlJc w:val="left"/>
      <w:pPr>
        <w:ind w:left="426" w:hanging="360"/>
      </w:pPr>
      <w:rPr>
        <w:color w:val="FFFFFF" w:themeColor="background1"/>
        <w:sz w:val="26"/>
        <w:szCs w:val="26"/>
      </w:rPr>
    </w:lvl>
    <w:lvl w:ilvl="1">
      <w:start w:val="2"/>
      <w:numFmt w:val="decimal"/>
      <w:isLgl/>
      <w:lvlText w:val="%1.%2"/>
      <w:lvlJc w:val="left"/>
      <w:pPr>
        <w:ind w:left="462" w:hanging="396"/>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0">
    <w:nsid w:val="3B4743D1"/>
    <w:multiLevelType w:val="hybridMultilevel"/>
    <w:tmpl w:val="F98049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0506F4C"/>
    <w:multiLevelType w:val="hybridMultilevel"/>
    <w:tmpl w:val="BA0628F2"/>
    <w:lvl w:ilvl="0" w:tplc="04240005">
      <w:start w:val="1"/>
      <w:numFmt w:val="bullet"/>
      <w:lvlText w:val=""/>
      <w:lvlJc w:val="left"/>
      <w:pPr>
        <w:ind w:left="720" w:hanging="360"/>
      </w:pPr>
      <w:rPr>
        <w:rFonts w:ascii="Wingdings" w:hAnsi="Wingdings" w:hint="default"/>
      </w:rPr>
    </w:lvl>
    <w:lvl w:ilvl="1" w:tplc="87EA7E5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354FF"/>
    <w:multiLevelType w:val="hybridMultilevel"/>
    <w:tmpl w:val="2850C9A8"/>
    <w:lvl w:ilvl="0" w:tplc="042F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403B6C"/>
    <w:multiLevelType w:val="hybridMultilevel"/>
    <w:tmpl w:val="7EF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45E93"/>
    <w:multiLevelType w:val="hybridMultilevel"/>
    <w:tmpl w:val="CA4A0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03005"/>
    <w:multiLevelType w:val="hybridMultilevel"/>
    <w:tmpl w:val="E2F450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34475D"/>
    <w:multiLevelType w:val="hybridMultilevel"/>
    <w:tmpl w:val="FA146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490678B"/>
    <w:multiLevelType w:val="hybridMultilevel"/>
    <w:tmpl w:val="1F402D74"/>
    <w:lvl w:ilvl="0" w:tplc="042F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B9655A"/>
    <w:multiLevelType w:val="hybridMultilevel"/>
    <w:tmpl w:val="D88E6CC4"/>
    <w:lvl w:ilvl="0" w:tplc="04240005">
      <w:start w:val="1"/>
      <w:numFmt w:val="bullet"/>
      <w:lvlText w:val=""/>
      <w:lvlJc w:val="left"/>
      <w:pPr>
        <w:ind w:left="720" w:hanging="360"/>
      </w:pPr>
      <w:rPr>
        <w:rFonts w:ascii="Wingdings" w:hAnsi="Wingdings" w:hint="default"/>
      </w:rPr>
    </w:lvl>
    <w:lvl w:ilvl="1" w:tplc="87EA7E5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C3A4C"/>
    <w:multiLevelType w:val="hybridMultilevel"/>
    <w:tmpl w:val="830013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F173D21"/>
    <w:multiLevelType w:val="hybridMultilevel"/>
    <w:tmpl w:val="CA8E1E60"/>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A012B"/>
    <w:multiLevelType w:val="hybridMultilevel"/>
    <w:tmpl w:val="F236B9B4"/>
    <w:lvl w:ilvl="0" w:tplc="A5D6866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7B607B"/>
    <w:multiLevelType w:val="hybridMultilevel"/>
    <w:tmpl w:val="4F9EEC2C"/>
    <w:lvl w:ilvl="0" w:tplc="0424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3E7B0C"/>
    <w:multiLevelType w:val="hybridMultilevel"/>
    <w:tmpl w:val="88049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6698C"/>
    <w:multiLevelType w:val="hybridMultilevel"/>
    <w:tmpl w:val="BBC4C8FC"/>
    <w:lvl w:ilvl="0" w:tplc="0424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264E51"/>
    <w:multiLevelType w:val="hybridMultilevel"/>
    <w:tmpl w:val="7EF28F96"/>
    <w:lvl w:ilvl="0" w:tplc="0409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6D437F42"/>
    <w:multiLevelType w:val="hybridMultilevel"/>
    <w:tmpl w:val="A35C93D4"/>
    <w:lvl w:ilvl="0" w:tplc="04240005">
      <w:start w:val="1"/>
      <w:numFmt w:val="bullet"/>
      <w:lvlText w:val=""/>
      <w:lvlJc w:val="left"/>
      <w:pPr>
        <w:ind w:left="720" w:hanging="360"/>
      </w:pPr>
      <w:rPr>
        <w:rFonts w:ascii="Wingdings" w:hAnsi="Wingdings" w:hint="default"/>
      </w:rPr>
    </w:lvl>
    <w:lvl w:ilvl="1" w:tplc="87EA7E5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95C22"/>
    <w:multiLevelType w:val="hybridMultilevel"/>
    <w:tmpl w:val="1E806F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6F490B68"/>
    <w:multiLevelType w:val="hybridMultilevel"/>
    <w:tmpl w:val="0C1AC768"/>
    <w:lvl w:ilvl="0" w:tplc="042F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077F08"/>
    <w:multiLevelType w:val="hybridMultilevel"/>
    <w:tmpl w:val="547A2022"/>
    <w:lvl w:ilvl="0" w:tplc="0424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6F1E44"/>
    <w:multiLevelType w:val="hybridMultilevel"/>
    <w:tmpl w:val="08480926"/>
    <w:lvl w:ilvl="0" w:tplc="C9321C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91ABC"/>
    <w:multiLevelType w:val="hybridMultilevel"/>
    <w:tmpl w:val="A9B89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50170F"/>
    <w:multiLevelType w:val="hybridMultilevel"/>
    <w:tmpl w:val="9AF67E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9"/>
  </w:num>
  <w:num w:numId="4">
    <w:abstractNumId w:val="22"/>
  </w:num>
  <w:num w:numId="5">
    <w:abstractNumId w:val="38"/>
  </w:num>
  <w:num w:numId="6">
    <w:abstractNumId w:val="19"/>
    <w:lvlOverride w:ilvl="0">
      <w:startOverride w:val="2"/>
    </w:lvlOverride>
    <w:lvlOverride w:ilvl="1">
      <w:startOverride w:val="3"/>
    </w:lvlOverride>
  </w:num>
  <w:num w:numId="7">
    <w:abstractNumId w:val="23"/>
  </w:num>
  <w:num w:numId="8">
    <w:abstractNumId w:val="33"/>
  </w:num>
  <w:num w:numId="9">
    <w:abstractNumId w:val="16"/>
  </w:num>
  <w:num w:numId="10">
    <w:abstractNumId w:val="24"/>
  </w:num>
  <w:num w:numId="11">
    <w:abstractNumId w:val="31"/>
  </w:num>
  <w:num w:numId="12">
    <w:abstractNumId w:val="40"/>
  </w:num>
  <w:num w:numId="13">
    <w:abstractNumId w:val="17"/>
  </w:num>
  <w:num w:numId="14">
    <w:abstractNumId w:val="30"/>
  </w:num>
  <w:num w:numId="15">
    <w:abstractNumId w:val="34"/>
  </w:num>
  <w:num w:numId="16">
    <w:abstractNumId w:val="7"/>
  </w:num>
  <w:num w:numId="17">
    <w:abstractNumId w:val="39"/>
  </w:num>
  <w:num w:numId="18">
    <w:abstractNumId w:val="11"/>
  </w:num>
  <w:num w:numId="19">
    <w:abstractNumId w:val="27"/>
  </w:num>
  <w:num w:numId="20">
    <w:abstractNumId w:val="41"/>
  </w:num>
  <w:num w:numId="21">
    <w:abstractNumId w:val="5"/>
  </w:num>
  <w:num w:numId="22">
    <w:abstractNumId w:val="1"/>
  </w:num>
  <w:num w:numId="23">
    <w:abstractNumId w:val="0"/>
  </w:num>
  <w:num w:numId="24">
    <w:abstractNumId w:val="21"/>
  </w:num>
  <w:num w:numId="25">
    <w:abstractNumId w:val="18"/>
  </w:num>
  <w:num w:numId="26">
    <w:abstractNumId w:val="36"/>
  </w:num>
  <w:num w:numId="27">
    <w:abstractNumId w:val="4"/>
  </w:num>
  <w:num w:numId="28">
    <w:abstractNumId w:val="8"/>
  </w:num>
  <w:num w:numId="29">
    <w:abstractNumId w:val="32"/>
  </w:num>
  <w:num w:numId="30">
    <w:abstractNumId w:val="13"/>
  </w:num>
  <w:num w:numId="31">
    <w:abstractNumId w:val="6"/>
  </w:num>
  <w:num w:numId="32">
    <w:abstractNumId w:val="29"/>
  </w:num>
  <w:num w:numId="33">
    <w:abstractNumId w:val="2"/>
  </w:num>
  <w:num w:numId="34">
    <w:abstractNumId w:val="37"/>
  </w:num>
  <w:num w:numId="35">
    <w:abstractNumId w:val="20"/>
  </w:num>
  <w:num w:numId="36">
    <w:abstractNumId w:val="26"/>
  </w:num>
  <w:num w:numId="37">
    <w:abstractNumId w:val="14"/>
  </w:num>
  <w:num w:numId="38">
    <w:abstractNumId w:val="10"/>
  </w:num>
  <w:num w:numId="39">
    <w:abstractNumId w:val="35"/>
  </w:num>
  <w:num w:numId="40">
    <w:abstractNumId w:val="19"/>
    <w:lvlOverride w:ilvl="0">
      <w:startOverride w:val="3"/>
    </w:lvlOverride>
    <w:lvlOverride w:ilvl="1">
      <w:startOverride w:val="2"/>
    </w:lvlOverride>
  </w:num>
  <w:num w:numId="41">
    <w:abstractNumId w:val="28"/>
  </w:num>
  <w:num w:numId="42">
    <w:abstractNumId w:val="3"/>
  </w:num>
  <w:num w:numId="43">
    <w:abstractNumId w:val="12"/>
  </w:num>
  <w:num w:numId="44">
    <w:abstractNumId w:val="42"/>
  </w:num>
  <w:num w:numId="45">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hyphenationZone w:val="425"/>
  <w:drawingGridHorizontalSpacing w:val="10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A06C9"/>
    <w:rsid w:val="00000BA2"/>
    <w:rsid w:val="00000E91"/>
    <w:rsid w:val="00001F0F"/>
    <w:rsid w:val="00002150"/>
    <w:rsid w:val="00003EC1"/>
    <w:rsid w:val="000050B7"/>
    <w:rsid w:val="00005951"/>
    <w:rsid w:val="0000720C"/>
    <w:rsid w:val="00007364"/>
    <w:rsid w:val="0001135D"/>
    <w:rsid w:val="00014AFB"/>
    <w:rsid w:val="00015EE9"/>
    <w:rsid w:val="000164B4"/>
    <w:rsid w:val="00017100"/>
    <w:rsid w:val="00017764"/>
    <w:rsid w:val="00020015"/>
    <w:rsid w:val="0002063E"/>
    <w:rsid w:val="000250A6"/>
    <w:rsid w:val="000260CD"/>
    <w:rsid w:val="00026DCD"/>
    <w:rsid w:val="00030FD3"/>
    <w:rsid w:val="00033141"/>
    <w:rsid w:val="000358D1"/>
    <w:rsid w:val="00040E29"/>
    <w:rsid w:val="00041E3B"/>
    <w:rsid w:val="00043644"/>
    <w:rsid w:val="0004593C"/>
    <w:rsid w:val="00046D72"/>
    <w:rsid w:val="0004779E"/>
    <w:rsid w:val="00054564"/>
    <w:rsid w:val="00055896"/>
    <w:rsid w:val="00057B58"/>
    <w:rsid w:val="00060CCC"/>
    <w:rsid w:val="00070574"/>
    <w:rsid w:val="000717EC"/>
    <w:rsid w:val="0007184F"/>
    <w:rsid w:val="00073190"/>
    <w:rsid w:val="00073BDA"/>
    <w:rsid w:val="00084529"/>
    <w:rsid w:val="00085AE2"/>
    <w:rsid w:val="0009221E"/>
    <w:rsid w:val="000951AD"/>
    <w:rsid w:val="00096FF9"/>
    <w:rsid w:val="000A31F8"/>
    <w:rsid w:val="000A6B11"/>
    <w:rsid w:val="000A7325"/>
    <w:rsid w:val="000A74A3"/>
    <w:rsid w:val="000A7E7C"/>
    <w:rsid w:val="000B0C03"/>
    <w:rsid w:val="000B0C84"/>
    <w:rsid w:val="000B1F36"/>
    <w:rsid w:val="000B304A"/>
    <w:rsid w:val="000B4213"/>
    <w:rsid w:val="000B6258"/>
    <w:rsid w:val="000C235F"/>
    <w:rsid w:val="000C2CFD"/>
    <w:rsid w:val="000C7CAE"/>
    <w:rsid w:val="000C7CC4"/>
    <w:rsid w:val="000D2257"/>
    <w:rsid w:val="000D22F0"/>
    <w:rsid w:val="000D3781"/>
    <w:rsid w:val="000D38CF"/>
    <w:rsid w:val="000D42DC"/>
    <w:rsid w:val="000D5164"/>
    <w:rsid w:val="000D54E9"/>
    <w:rsid w:val="000D6AF4"/>
    <w:rsid w:val="000D6DA8"/>
    <w:rsid w:val="000E0A6E"/>
    <w:rsid w:val="000E199C"/>
    <w:rsid w:val="000E3567"/>
    <w:rsid w:val="000E4975"/>
    <w:rsid w:val="000E507C"/>
    <w:rsid w:val="000E72A0"/>
    <w:rsid w:val="000F3073"/>
    <w:rsid w:val="000F5F45"/>
    <w:rsid w:val="000F5F49"/>
    <w:rsid w:val="00102A79"/>
    <w:rsid w:val="00115E1A"/>
    <w:rsid w:val="00122FBD"/>
    <w:rsid w:val="00123A85"/>
    <w:rsid w:val="00123FF0"/>
    <w:rsid w:val="001252E3"/>
    <w:rsid w:val="00133BA2"/>
    <w:rsid w:val="001363E1"/>
    <w:rsid w:val="00140404"/>
    <w:rsid w:val="00141A61"/>
    <w:rsid w:val="00142033"/>
    <w:rsid w:val="00144787"/>
    <w:rsid w:val="00146E64"/>
    <w:rsid w:val="0015351C"/>
    <w:rsid w:val="001568FF"/>
    <w:rsid w:val="00160B04"/>
    <w:rsid w:val="00164B39"/>
    <w:rsid w:val="00177044"/>
    <w:rsid w:val="00180E5C"/>
    <w:rsid w:val="0018458F"/>
    <w:rsid w:val="00184A98"/>
    <w:rsid w:val="00185113"/>
    <w:rsid w:val="001938E5"/>
    <w:rsid w:val="00194BDE"/>
    <w:rsid w:val="001953FF"/>
    <w:rsid w:val="00195BBF"/>
    <w:rsid w:val="00196A72"/>
    <w:rsid w:val="001A0AD1"/>
    <w:rsid w:val="001A2BFB"/>
    <w:rsid w:val="001A553F"/>
    <w:rsid w:val="001C0517"/>
    <w:rsid w:val="001C5337"/>
    <w:rsid w:val="001D4B2E"/>
    <w:rsid w:val="001E0237"/>
    <w:rsid w:val="001E0928"/>
    <w:rsid w:val="001E0C53"/>
    <w:rsid w:val="001E0F37"/>
    <w:rsid w:val="001E2E06"/>
    <w:rsid w:val="001E3862"/>
    <w:rsid w:val="001E3C64"/>
    <w:rsid w:val="001E5320"/>
    <w:rsid w:val="001F0283"/>
    <w:rsid w:val="001F119D"/>
    <w:rsid w:val="001F3757"/>
    <w:rsid w:val="001F4D6A"/>
    <w:rsid w:val="001F5FD0"/>
    <w:rsid w:val="00200243"/>
    <w:rsid w:val="0020097E"/>
    <w:rsid w:val="002047CF"/>
    <w:rsid w:val="00205201"/>
    <w:rsid w:val="00212563"/>
    <w:rsid w:val="00216F69"/>
    <w:rsid w:val="002173E7"/>
    <w:rsid w:val="00222567"/>
    <w:rsid w:val="00225057"/>
    <w:rsid w:val="00230FD3"/>
    <w:rsid w:val="00231203"/>
    <w:rsid w:val="00233C84"/>
    <w:rsid w:val="0023608F"/>
    <w:rsid w:val="0023660E"/>
    <w:rsid w:val="002366A6"/>
    <w:rsid w:val="002371AF"/>
    <w:rsid w:val="002475E7"/>
    <w:rsid w:val="0025110B"/>
    <w:rsid w:val="00256A19"/>
    <w:rsid w:val="00261424"/>
    <w:rsid w:val="00266BD4"/>
    <w:rsid w:val="00266F07"/>
    <w:rsid w:val="00270C50"/>
    <w:rsid w:val="00272045"/>
    <w:rsid w:val="0027238D"/>
    <w:rsid w:val="00272DFC"/>
    <w:rsid w:val="00275C63"/>
    <w:rsid w:val="002766B5"/>
    <w:rsid w:val="00276A94"/>
    <w:rsid w:val="00280F72"/>
    <w:rsid w:val="0028286D"/>
    <w:rsid w:val="00282E43"/>
    <w:rsid w:val="00283ACC"/>
    <w:rsid w:val="00284F53"/>
    <w:rsid w:val="00291048"/>
    <w:rsid w:val="00291D8D"/>
    <w:rsid w:val="00292432"/>
    <w:rsid w:val="002A2E0B"/>
    <w:rsid w:val="002A3315"/>
    <w:rsid w:val="002A4165"/>
    <w:rsid w:val="002A44A0"/>
    <w:rsid w:val="002A73C2"/>
    <w:rsid w:val="002B25C3"/>
    <w:rsid w:val="002B53CC"/>
    <w:rsid w:val="002C132C"/>
    <w:rsid w:val="002C4CEB"/>
    <w:rsid w:val="002C50CB"/>
    <w:rsid w:val="002C647F"/>
    <w:rsid w:val="002C6E8F"/>
    <w:rsid w:val="002D2277"/>
    <w:rsid w:val="002D3B9F"/>
    <w:rsid w:val="002D4E67"/>
    <w:rsid w:val="002D6C3D"/>
    <w:rsid w:val="002D6F62"/>
    <w:rsid w:val="002E1FEB"/>
    <w:rsid w:val="002E353D"/>
    <w:rsid w:val="002E6525"/>
    <w:rsid w:val="002F37F0"/>
    <w:rsid w:val="00301976"/>
    <w:rsid w:val="0030283B"/>
    <w:rsid w:val="0031456A"/>
    <w:rsid w:val="00314800"/>
    <w:rsid w:val="00316033"/>
    <w:rsid w:val="00316B12"/>
    <w:rsid w:val="00332811"/>
    <w:rsid w:val="0033353F"/>
    <w:rsid w:val="003345DE"/>
    <w:rsid w:val="00337AA8"/>
    <w:rsid w:val="0034157B"/>
    <w:rsid w:val="00341D0F"/>
    <w:rsid w:val="003450BA"/>
    <w:rsid w:val="003462C3"/>
    <w:rsid w:val="00346EAA"/>
    <w:rsid w:val="0034746C"/>
    <w:rsid w:val="0035149B"/>
    <w:rsid w:val="0035170E"/>
    <w:rsid w:val="00355538"/>
    <w:rsid w:val="0035645B"/>
    <w:rsid w:val="003615B2"/>
    <w:rsid w:val="00363913"/>
    <w:rsid w:val="0036471E"/>
    <w:rsid w:val="003649D3"/>
    <w:rsid w:val="003668AE"/>
    <w:rsid w:val="00372146"/>
    <w:rsid w:val="00372728"/>
    <w:rsid w:val="00374056"/>
    <w:rsid w:val="0037465D"/>
    <w:rsid w:val="00377A8D"/>
    <w:rsid w:val="00381C07"/>
    <w:rsid w:val="00385224"/>
    <w:rsid w:val="003868F1"/>
    <w:rsid w:val="003922CA"/>
    <w:rsid w:val="00394DCA"/>
    <w:rsid w:val="00395BC5"/>
    <w:rsid w:val="003A22DB"/>
    <w:rsid w:val="003A4948"/>
    <w:rsid w:val="003A68F1"/>
    <w:rsid w:val="003A6C78"/>
    <w:rsid w:val="003B1B8C"/>
    <w:rsid w:val="003B3CDF"/>
    <w:rsid w:val="003C049F"/>
    <w:rsid w:val="003C34B0"/>
    <w:rsid w:val="003C7B33"/>
    <w:rsid w:val="003C7BCA"/>
    <w:rsid w:val="003D3069"/>
    <w:rsid w:val="003E0C91"/>
    <w:rsid w:val="003E247B"/>
    <w:rsid w:val="003F2FAA"/>
    <w:rsid w:val="003F370F"/>
    <w:rsid w:val="004032F1"/>
    <w:rsid w:val="004052BF"/>
    <w:rsid w:val="00406159"/>
    <w:rsid w:val="0041199A"/>
    <w:rsid w:val="00411B48"/>
    <w:rsid w:val="00414B77"/>
    <w:rsid w:val="00416418"/>
    <w:rsid w:val="00417AB7"/>
    <w:rsid w:val="004204EF"/>
    <w:rsid w:val="004207F4"/>
    <w:rsid w:val="00425433"/>
    <w:rsid w:val="00425CA9"/>
    <w:rsid w:val="00426F82"/>
    <w:rsid w:val="00432B1F"/>
    <w:rsid w:val="004364D2"/>
    <w:rsid w:val="004365DE"/>
    <w:rsid w:val="00440FAF"/>
    <w:rsid w:val="004436ED"/>
    <w:rsid w:val="00443B66"/>
    <w:rsid w:val="004457C1"/>
    <w:rsid w:val="0044632A"/>
    <w:rsid w:val="00446DE2"/>
    <w:rsid w:val="00450D23"/>
    <w:rsid w:val="0045255F"/>
    <w:rsid w:val="00452A0D"/>
    <w:rsid w:val="00454185"/>
    <w:rsid w:val="0045461F"/>
    <w:rsid w:val="00461A7E"/>
    <w:rsid w:val="00462F46"/>
    <w:rsid w:val="00463558"/>
    <w:rsid w:val="00465C16"/>
    <w:rsid w:val="00470E94"/>
    <w:rsid w:val="0047120B"/>
    <w:rsid w:val="00473431"/>
    <w:rsid w:val="00477BEB"/>
    <w:rsid w:val="004916BD"/>
    <w:rsid w:val="00493400"/>
    <w:rsid w:val="0049480F"/>
    <w:rsid w:val="004967EA"/>
    <w:rsid w:val="004B0496"/>
    <w:rsid w:val="004B24CC"/>
    <w:rsid w:val="004B2E4F"/>
    <w:rsid w:val="004C0AF8"/>
    <w:rsid w:val="004C1125"/>
    <w:rsid w:val="004C3D0D"/>
    <w:rsid w:val="004C5F2F"/>
    <w:rsid w:val="004C799B"/>
    <w:rsid w:val="004D327D"/>
    <w:rsid w:val="004D45B9"/>
    <w:rsid w:val="004D611E"/>
    <w:rsid w:val="004D663B"/>
    <w:rsid w:val="004D681C"/>
    <w:rsid w:val="004E0E7B"/>
    <w:rsid w:val="004E3492"/>
    <w:rsid w:val="004E4054"/>
    <w:rsid w:val="004E5213"/>
    <w:rsid w:val="004E6094"/>
    <w:rsid w:val="004F02A2"/>
    <w:rsid w:val="004F1788"/>
    <w:rsid w:val="0050030E"/>
    <w:rsid w:val="00501746"/>
    <w:rsid w:val="0050286B"/>
    <w:rsid w:val="0050302C"/>
    <w:rsid w:val="00511545"/>
    <w:rsid w:val="0051603E"/>
    <w:rsid w:val="0052195D"/>
    <w:rsid w:val="0052219A"/>
    <w:rsid w:val="005223D0"/>
    <w:rsid w:val="00524E12"/>
    <w:rsid w:val="00527B4C"/>
    <w:rsid w:val="005336A8"/>
    <w:rsid w:val="00535116"/>
    <w:rsid w:val="0053784E"/>
    <w:rsid w:val="005434CF"/>
    <w:rsid w:val="005439D5"/>
    <w:rsid w:val="00545030"/>
    <w:rsid w:val="00547395"/>
    <w:rsid w:val="005521F4"/>
    <w:rsid w:val="005526BB"/>
    <w:rsid w:val="0055591F"/>
    <w:rsid w:val="00556785"/>
    <w:rsid w:val="00556DC8"/>
    <w:rsid w:val="00566726"/>
    <w:rsid w:val="00571048"/>
    <w:rsid w:val="00572783"/>
    <w:rsid w:val="0057636D"/>
    <w:rsid w:val="00576654"/>
    <w:rsid w:val="00580DC5"/>
    <w:rsid w:val="005823D6"/>
    <w:rsid w:val="00584785"/>
    <w:rsid w:val="005865B7"/>
    <w:rsid w:val="00587108"/>
    <w:rsid w:val="00587278"/>
    <w:rsid w:val="005913E9"/>
    <w:rsid w:val="00591D9F"/>
    <w:rsid w:val="00591E02"/>
    <w:rsid w:val="0059322A"/>
    <w:rsid w:val="00593EFC"/>
    <w:rsid w:val="00595AD8"/>
    <w:rsid w:val="00596F84"/>
    <w:rsid w:val="005A11F1"/>
    <w:rsid w:val="005A422A"/>
    <w:rsid w:val="005A5F53"/>
    <w:rsid w:val="005A6943"/>
    <w:rsid w:val="005A7124"/>
    <w:rsid w:val="005B1300"/>
    <w:rsid w:val="005B3176"/>
    <w:rsid w:val="005B3CF2"/>
    <w:rsid w:val="005B56ED"/>
    <w:rsid w:val="005B5EAB"/>
    <w:rsid w:val="005C2A81"/>
    <w:rsid w:val="005C2AB8"/>
    <w:rsid w:val="005C4BC5"/>
    <w:rsid w:val="005C5AB0"/>
    <w:rsid w:val="005C73E5"/>
    <w:rsid w:val="005C775F"/>
    <w:rsid w:val="005D3807"/>
    <w:rsid w:val="005D5A3D"/>
    <w:rsid w:val="005E27BC"/>
    <w:rsid w:val="005E2A88"/>
    <w:rsid w:val="005E3980"/>
    <w:rsid w:val="005E3F96"/>
    <w:rsid w:val="005E52D9"/>
    <w:rsid w:val="005F0001"/>
    <w:rsid w:val="005F346E"/>
    <w:rsid w:val="005F36E4"/>
    <w:rsid w:val="005F41F9"/>
    <w:rsid w:val="00600AF9"/>
    <w:rsid w:val="00603AE0"/>
    <w:rsid w:val="00603E25"/>
    <w:rsid w:val="00604313"/>
    <w:rsid w:val="006076DB"/>
    <w:rsid w:val="006108DF"/>
    <w:rsid w:val="00612FF9"/>
    <w:rsid w:val="006231DA"/>
    <w:rsid w:val="006238CB"/>
    <w:rsid w:val="00623D51"/>
    <w:rsid w:val="006247F8"/>
    <w:rsid w:val="006306CA"/>
    <w:rsid w:val="006319DC"/>
    <w:rsid w:val="00632BB3"/>
    <w:rsid w:val="0063376C"/>
    <w:rsid w:val="006339B0"/>
    <w:rsid w:val="00633B5F"/>
    <w:rsid w:val="00633BDD"/>
    <w:rsid w:val="00633F8F"/>
    <w:rsid w:val="00635308"/>
    <w:rsid w:val="00637545"/>
    <w:rsid w:val="00637E5D"/>
    <w:rsid w:val="00640DBF"/>
    <w:rsid w:val="0064258E"/>
    <w:rsid w:val="006442CC"/>
    <w:rsid w:val="00644C94"/>
    <w:rsid w:val="0066139C"/>
    <w:rsid w:val="00664E6B"/>
    <w:rsid w:val="00667C37"/>
    <w:rsid w:val="00667F8F"/>
    <w:rsid w:val="006724C2"/>
    <w:rsid w:val="00676BE5"/>
    <w:rsid w:val="00680225"/>
    <w:rsid w:val="006827CA"/>
    <w:rsid w:val="00682ADA"/>
    <w:rsid w:val="0068781C"/>
    <w:rsid w:val="00692E0C"/>
    <w:rsid w:val="0069610A"/>
    <w:rsid w:val="006A0735"/>
    <w:rsid w:val="006A18D1"/>
    <w:rsid w:val="006A2EBC"/>
    <w:rsid w:val="006A39F1"/>
    <w:rsid w:val="006A3A41"/>
    <w:rsid w:val="006A3AA2"/>
    <w:rsid w:val="006A4215"/>
    <w:rsid w:val="006B0B3E"/>
    <w:rsid w:val="006B212C"/>
    <w:rsid w:val="006B422E"/>
    <w:rsid w:val="006B71DC"/>
    <w:rsid w:val="006C33E0"/>
    <w:rsid w:val="006C3CFA"/>
    <w:rsid w:val="006C526F"/>
    <w:rsid w:val="006C57C4"/>
    <w:rsid w:val="006C63E7"/>
    <w:rsid w:val="006C796E"/>
    <w:rsid w:val="006D02FE"/>
    <w:rsid w:val="006D3DC9"/>
    <w:rsid w:val="006D7315"/>
    <w:rsid w:val="006E10C8"/>
    <w:rsid w:val="006E3A6F"/>
    <w:rsid w:val="006F11DA"/>
    <w:rsid w:val="006F3BC8"/>
    <w:rsid w:val="006F46ED"/>
    <w:rsid w:val="006F4F2E"/>
    <w:rsid w:val="00701201"/>
    <w:rsid w:val="0070225E"/>
    <w:rsid w:val="0070358D"/>
    <w:rsid w:val="007124B0"/>
    <w:rsid w:val="00713467"/>
    <w:rsid w:val="00716103"/>
    <w:rsid w:val="00716D04"/>
    <w:rsid w:val="00716F63"/>
    <w:rsid w:val="007175D4"/>
    <w:rsid w:val="00721DD3"/>
    <w:rsid w:val="007221C3"/>
    <w:rsid w:val="00723DE0"/>
    <w:rsid w:val="00730E18"/>
    <w:rsid w:val="007334B5"/>
    <w:rsid w:val="00734AD1"/>
    <w:rsid w:val="0073676D"/>
    <w:rsid w:val="007371D3"/>
    <w:rsid w:val="007373D9"/>
    <w:rsid w:val="00741B82"/>
    <w:rsid w:val="0074238C"/>
    <w:rsid w:val="00744797"/>
    <w:rsid w:val="00747844"/>
    <w:rsid w:val="007546A4"/>
    <w:rsid w:val="00754E2A"/>
    <w:rsid w:val="0075643B"/>
    <w:rsid w:val="0076062A"/>
    <w:rsid w:val="00765DA9"/>
    <w:rsid w:val="00767812"/>
    <w:rsid w:val="00771390"/>
    <w:rsid w:val="007720AA"/>
    <w:rsid w:val="007748C6"/>
    <w:rsid w:val="00775056"/>
    <w:rsid w:val="00780E63"/>
    <w:rsid w:val="00780F5E"/>
    <w:rsid w:val="0078219B"/>
    <w:rsid w:val="007824C1"/>
    <w:rsid w:val="007831E4"/>
    <w:rsid w:val="00786A2B"/>
    <w:rsid w:val="007909E6"/>
    <w:rsid w:val="00793E98"/>
    <w:rsid w:val="007955B7"/>
    <w:rsid w:val="007A4C20"/>
    <w:rsid w:val="007A5B16"/>
    <w:rsid w:val="007A62F4"/>
    <w:rsid w:val="007C5560"/>
    <w:rsid w:val="007C7544"/>
    <w:rsid w:val="007D40C2"/>
    <w:rsid w:val="007D53B3"/>
    <w:rsid w:val="007D7160"/>
    <w:rsid w:val="007E3FCC"/>
    <w:rsid w:val="007E5B70"/>
    <w:rsid w:val="007F2200"/>
    <w:rsid w:val="007F707E"/>
    <w:rsid w:val="007F7EA0"/>
    <w:rsid w:val="0080084E"/>
    <w:rsid w:val="00800AA6"/>
    <w:rsid w:val="00803505"/>
    <w:rsid w:val="00804694"/>
    <w:rsid w:val="008049B7"/>
    <w:rsid w:val="008049CB"/>
    <w:rsid w:val="00805C3C"/>
    <w:rsid w:val="00806815"/>
    <w:rsid w:val="00811065"/>
    <w:rsid w:val="008112AB"/>
    <w:rsid w:val="00812E03"/>
    <w:rsid w:val="00813D12"/>
    <w:rsid w:val="00824BA5"/>
    <w:rsid w:val="00827A5C"/>
    <w:rsid w:val="00830225"/>
    <w:rsid w:val="00831A69"/>
    <w:rsid w:val="00836D1D"/>
    <w:rsid w:val="00837631"/>
    <w:rsid w:val="00842082"/>
    <w:rsid w:val="00843036"/>
    <w:rsid w:val="00843DE1"/>
    <w:rsid w:val="0085041F"/>
    <w:rsid w:val="00852093"/>
    <w:rsid w:val="00853EF0"/>
    <w:rsid w:val="00860D03"/>
    <w:rsid w:val="00861702"/>
    <w:rsid w:val="0086472B"/>
    <w:rsid w:val="00864E9B"/>
    <w:rsid w:val="00874557"/>
    <w:rsid w:val="0087736F"/>
    <w:rsid w:val="00884410"/>
    <w:rsid w:val="00886193"/>
    <w:rsid w:val="00891023"/>
    <w:rsid w:val="00891FAB"/>
    <w:rsid w:val="00896654"/>
    <w:rsid w:val="00896F70"/>
    <w:rsid w:val="008A1E9E"/>
    <w:rsid w:val="008A2F99"/>
    <w:rsid w:val="008A576B"/>
    <w:rsid w:val="008A6A05"/>
    <w:rsid w:val="008B0908"/>
    <w:rsid w:val="008B1D9C"/>
    <w:rsid w:val="008B1DBA"/>
    <w:rsid w:val="008B308D"/>
    <w:rsid w:val="008B322D"/>
    <w:rsid w:val="008B593B"/>
    <w:rsid w:val="008B60B3"/>
    <w:rsid w:val="008B64EA"/>
    <w:rsid w:val="008C17B8"/>
    <w:rsid w:val="008C203D"/>
    <w:rsid w:val="008C22A8"/>
    <w:rsid w:val="008C4DD9"/>
    <w:rsid w:val="008C5E33"/>
    <w:rsid w:val="008C7BEE"/>
    <w:rsid w:val="008D21E7"/>
    <w:rsid w:val="008D6738"/>
    <w:rsid w:val="008D70A3"/>
    <w:rsid w:val="008E2AC5"/>
    <w:rsid w:val="008F2C4C"/>
    <w:rsid w:val="008F2DBB"/>
    <w:rsid w:val="008F4117"/>
    <w:rsid w:val="008F48B5"/>
    <w:rsid w:val="008F6CC9"/>
    <w:rsid w:val="008F7284"/>
    <w:rsid w:val="00901B5E"/>
    <w:rsid w:val="0090302B"/>
    <w:rsid w:val="00903308"/>
    <w:rsid w:val="0090441A"/>
    <w:rsid w:val="009103AD"/>
    <w:rsid w:val="009142B3"/>
    <w:rsid w:val="00914557"/>
    <w:rsid w:val="00917D80"/>
    <w:rsid w:val="009205AB"/>
    <w:rsid w:val="00924652"/>
    <w:rsid w:val="00924D3C"/>
    <w:rsid w:val="00925E36"/>
    <w:rsid w:val="009279AB"/>
    <w:rsid w:val="00936CA1"/>
    <w:rsid w:val="0094002D"/>
    <w:rsid w:val="00942193"/>
    <w:rsid w:val="009715DE"/>
    <w:rsid w:val="00971DA3"/>
    <w:rsid w:val="0098052B"/>
    <w:rsid w:val="00980A75"/>
    <w:rsid w:val="009830EB"/>
    <w:rsid w:val="00983497"/>
    <w:rsid w:val="009845E9"/>
    <w:rsid w:val="0098610E"/>
    <w:rsid w:val="009A0456"/>
    <w:rsid w:val="009A2AEE"/>
    <w:rsid w:val="009A3C8E"/>
    <w:rsid w:val="009A64ED"/>
    <w:rsid w:val="009A7A3D"/>
    <w:rsid w:val="009B1504"/>
    <w:rsid w:val="009B1F74"/>
    <w:rsid w:val="009B233F"/>
    <w:rsid w:val="009B3320"/>
    <w:rsid w:val="009B3784"/>
    <w:rsid w:val="009B40EE"/>
    <w:rsid w:val="009B48A5"/>
    <w:rsid w:val="009B4F22"/>
    <w:rsid w:val="009B6291"/>
    <w:rsid w:val="009C0843"/>
    <w:rsid w:val="009C4503"/>
    <w:rsid w:val="009C571A"/>
    <w:rsid w:val="009C6904"/>
    <w:rsid w:val="009C7950"/>
    <w:rsid w:val="009C7DBF"/>
    <w:rsid w:val="009C7E4E"/>
    <w:rsid w:val="009D05F5"/>
    <w:rsid w:val="009D0CB2"/>
    <w:rsid w:val="009D1404"/>
    <w:rsid w:val="009D150F"/>
    <w:rsid w:val="009D154E"/>
    <w:rsid w:val="009D1629"/>
    <w:rsid w:val="009D1B26"/>
    <w:rsid w:val="009D5D33"/>
    <w:rsid w:val="009D6516"/>
    <w:rsid w:val="009E2C87"/>
    <w:rsid w:val="009E667A"/>
    <w:rsid w:val="009F3494"/>
    <w:rsid w:val="00A01B40"/>
    <w:rsid w:val="00A051FE"/>
    <w:rsid w:val="00A07DEE"/>
    <w:rsid w:val="00A132D8"/>
    <w:rsid w:val="00A13EDD"/>
    <w:rsid w:val="00A140C7"/>
    <w:rsid w:val="00A140D6"/>
    <w:rsid w:val="00A15D4E"/>
    <w:rsid w:val="00A169C8"/>
    <w:rsid w:val="00A2069D"/>
    <w:rsid w:val="00A21185"/>
    <w:rsid w:val="00A21D8F"/>
    <w:rsid w:val="00A23BDD"/>
    <w:rsid w:val="00A301FC"/>
    <w:rsid w:val="00A329AD"/>
    <w:rsid w:val="00A33F98"/>
    <w:rsid w:val="00A34642"/>
    <w:rsid w:val="00A378EF"/>
    <w:rsid w:val="00A412C7"/>
    <w:rsid w:val="00A43EEB"/>
    <w:rsid w:val="00A45AEA"/>
    <w:rsid w:val="00A53DF7"/>
    <w:rsid w:val="00A54C37"/>
    <w:rsid w:val="00A555DD"/>
    <w:rsid w:val="00A60C11"/>
    <w:rsid w:val="00A6124E"/>
    <w:rsid w:val="00A63ABD"/>
    <w:rsid w:val="00A663D5"/>
    <w:rsid w:val="00A67480"/>
    <w:rsid w:val="00A6791E"/>
    <w:rsid w:val="00A71463"/>
    <w:rsid w:val="00A726F7"/>
    <w:rsid w:val="00A73130"/>
    <w:rsid w:val="00A75196"/>
    <w:rsid w:val="00A8165B"/>
    <w:rsid w:val="00A84206"/>
    <w:rsid w:val="00A86204"/>
    <w:rsid w:val="00A901AE"/>
    <w:rsid w:val="00A9256F"/>
    <w:rsid w:val="00A926E1"/>
    <w:rsid w:val="00A93CDE"/>
    <w:rsid w:val="00A93E96"/>
    <w:rsid w:val="00A955B0"/>
    <w:rsid w:val="00A96C9D"/>
    <w:rsid w:val="00A97E25"/>
    <w:rsid w:val="00AA1A44"/>
    <w:rsid w:val="00AA426D"/>
    <w:rsid w:val="00AA56E7"/>
    <w:rsid w:val="00AB0128"/>
    <w:rsid w:val="00AB0C76"/>
    <w:rsid w:val="00AB3C66"/>
    <w:rsid w:val="00AB4D72"/>
    <w:rsid w:val="00AB50D5"/>
    <w:rsid w:val="00AC05F6"/>
    <w:rsid w:val="00AC3954"/>
    <w:rsid w:val="00AC4A47"/>
    <w:rsid w:val="00AC5F08"/>
    <w:rsid w:val="00AC6A4D"/>
    <w:rsid w:val="00AD09ED"/>
    <w:rsid w:val="00AD0E36"/>
    <w:rsid w:val="00AD1B90"/>
    <w:rsid w:val="00AD3EB8"/>
    <w:rsid w:val="00AD7538"/>
    <w:rsid w:val="00AE3FF0"/>
    <w:rsid w:val="00AE6E16"/>
    <w:rsid w:val="00B001CC"/>
    <w:rsid w:val="00B00AC9"/>
    <w:rsid w:val="00B0266D"/>
    <w:rsid w:val="00B02B65"/>
    <w:rsid w:val="00B02D23"/>
    <w:rsid w:val="00B02FBD"/>
    <w:rsid w:val="00B060E8"/>
    <w:rsid w:val="00B12AB6"/>
    <w:rsid w:val="00B1369A"/>
    <w:rsid w:val="00B15997"/>
    <w:rsid w:val="00B172D2"/>
    <w:rsid w:val="00B23C1B"/>
    <w:rsid w:val="00B25673"/>
    <w:rsid w:val="00B3242F"/>
    <w:rsid w:val="00B3457A"/>
    <w:rsid w:val="00B35AE6"/>
    <w:rsid w:val="00B35B45"/>
    <w:rsid w:val="00B35D8D"/>
    <w:rsid w:val="00B42D7E"/>
    <w:rsid w:val="00B442CA"/>
    <w:rsid w:val="00B55436"/>
    <w:rsid w:val="00B558BB"/>
    <w:rsid w:val="00B573F0"/>
    <w:rsid w:val="00B57797"/>
    <w:rsid w:val="00B66CE8"/>
    <w:rsid w:val="00B67260"/>
    <w:rsid w:val="00B67903"/>
    <w:rsid w:val="00B707A4"/>
    <w:rsid w:val="00B73F54"/>
    <w:rsid w:val="00B74C36"/>
    <w:rsid w:val="00B75C04"/>
    <w:rsid w:val="00B778BD"/>
    <w:rsid w:val="00B77C57"/>
    <w:rsid w:val="00B81360"/>
    <w:rsid w:val="00B81B19"/>
    <w:rsid w:val="00B8464F"/>
    <w:rsid w:val="00B85597"/>
    <w:rsid w:val="00B87F88"/>
    <w:rsid w:val="00B918A9"/>
    <w:rsid w:val="00B927B2"/>
    <w:rsid w:val="00B93947"/>
    <w:rsid w:val="00BA4699"/>
    <w:rsid w:val="00BA627E"/>
    <w:rsid w:val="00BA71B2"/>
    <w:rsid w:val="00BB2EE8"/>
    <w:rsid w:val="00BB306E"/>
    <w:rsid w:val="00BB3622"/>
    <w:rsid w:val="00BC0BC8"/>
    <w:rsid w:val="00BC319B"/>
    <w:rsid w:val="00BC36BE"/>
    <w:rsid w:val="00BC4130"/>
    <w:rsid w:val="00BC44E5"/>
    <w:rsid w:val="00BC481B"/>
    <w:rsid w:val="00BC5E16"/>
    <w:rsid w:val="00BC69FF"/>
    <w:rsid w:val="00BC729F"/>
    <w:rsid w:val="00BC77D5"/>
    <w:rsid w:val="00BD67E4"/>
    <w:rsid w:val="00BD784A"/>
    <w:rsid w:val="00BE114F"/>
    <w:rsid w:val="00BE27A4"/>
    <w:rsid w:val="00C0031B"/>
    <w:rsid w:val="00C03986"/>
    <w:rsid w:val="00C07251"/>
    <w:rsid w:val="00C127FE"/>
    <w:rsid w:val="00C13B79"/>
    <w:rsid w:val="00C15925"/>
    <w:rsid w:val="00C20587"/>
    <w:rsid w:val="00C2241C"/>
    <w:rsid w:val="00C226B0"/>
    <w:rsid w:val="00C235F0"/>
    <w:rsid w:val="00C24777"/>
    <w:rsid w:val="00C32B1C"/>
    <w:rsid w:val="00C40FEE"/>
    <w:rsid w:val="00C43D2C"/>
    <w:rsid w:val="00C45308"/>
    <w:rsid w:val="00C468F5"/>
    <w:rsid w:val="00C519C2"/>
    <w:rsid w:val="00C52744"/>
    <w:rsid w:val="00C5446A"/>
    <w:rsid w:val="00C54BDC"/>
    <w:rsid w:val="00C54F1E"/>
    <w:rsid w:val="00C54F96"/>
    <w:rsid w:val="00C5596D"/>
    <w:rsid w:val="00C56969"/>
    <w:rsid w:val="00C60E4D"/>
    <w:rsid w:val="00C61071"/>
    <w:rsid w:val="00C61FC3"/>
    <w:rsid w:val="00C672D9"/>
    <w:rsid w:val="00C7285E"/>
    <w:rsid w:val="00C739C1"/>
    <w:rsid w:val="00C77D6C"/>
    <w:rsid w:val="00C8416C"/>
    <w:rsid w:val="00C84D38"/>
    <w:rsid w:val="00C84F73"/>
    <w:rsid w:val="00C858FE"/>
    <w:rsid w:val="00C85E50"/>
    <w:rsid w:val="00C869E5"/>
    <w:rsid w:val="00C871B2"/>
    <w:rsid w:val="00C87A66"/>
    <w:rsid w:val="00C901BF"/>
    <w:rsid w:val="00C910FA"/>
    <w:rsid w:val="00C9458B"/>
    <w:rsid w:val="00C947D9"/>
    <w:rsid w:val="00C97E0B"/>
    <w:rsid w:val="00CA1329"/>
    <w:rsid w:val="00CA1BD1"/>
    <w:rsid w:val="00CA3AE4"/>
    <w:rsid w:val="00CA632C"/>
    <w:rsid w:val="00CA7B33"/>
    <w:rsid w:val="00CB0A83"/>
    <w:rsid w:val="00CB5469"/>
    <w:rsid w:val="00CB6F1B"/>
    <w:rsid w:val="00CB78B9"/>
    <w:rsid w:val="00CC00B2"/>
    <w:rsid w:val="00CC1699"/>
    <w:rsid w:val="00CC1972"/>
    <w:rsid w:val="00CC5C6D"/>
    <w:rsid w:val="00CD262E"/>
    <w:rsid w:val="00CD5EBA"/>
    <w:rsid w:val="00CE1182"/>
    <w:rsid w:val="00CE2E18"/>
    <w:rsid w:val="00CE3625"/>
    <w:rsid w:val="00CE48EC"/>
    <w:rsid w:val="00CE6A25"/>
    <w:rsid w:val="00CE79A9"/>
    <w:rsid w:val="00CF2150"/>
    <w:rsid w:val="00CF78A8"/>
    <w:rsid w:val="00CF7FA3"/>
    <w:rsid w:val="00D00340"/>
    <w:rsid w:val="00D00515"/>
    <w:rsid w:val="00D031F8"/>
    <w:rsid w:val="00D1510E"/>
    <w:rsid w:val="00D16837"/>
    <w:rsid w:val="00D2254D"/>
    <w:rsid w:val="00D25E43"/>
    <w:rsid w:val="00D276CA"/>
    <w:rsid w:val="00D3113D"/>
    <w:rsid w:val="00D34DAE"/>
    <w:rsid w:val="00D35D39"/>
    <w:rsid w:val="00D403AE"/>
    <w:rsid w:val="00D43F71"/>
    <w:rsid w:val="00D4523C"/>
    <w:rsid w:val="00D45B80"/>
    <w:rsid w:val="00D47A07"/>
    <w:rsid w:val="00D50195"/>
    <w:rsid w:val="00D508B2"/>
    <w:rsid w:val="00D5174A"/>
    <w:rsid w:val="00D52DF4"/>
    <w:rsid w:val="00D53E04"/>
    <w:rsid w:val="00D5646D"/>
    <w:rsid w:val="00D56A0F"/>
    <w:rsid w:val="00D60C3B"/>
    <w:rsid w:val="00D62334"/>
    <w:rsid w:val="00D6234A"/>
    <w:rsid w:val="00D63561"/>
    <w:rsid w:val="00D6627B"/>
    <w:rsid w:val="00D800A0"/>
    <w:rsid w:val="00D822A2"/>
    <w:rsid w:val="00D82F1C"/>
    <w:rsid w:val="00D851A1"/>
    <w:rsid w:val="00D855F3"/>
    <w:rsid w:val="00D86412"/>
    <w:rsid w:val="00D920C5"/>
    <w:rsid w:val="00D931FE"/>
    <w:rsid w:val="00D957E9"/>
    <w:rsid w:val="00DA06C9"/>
    <w:rsid w:val="00DA1B3B"/>
    <w:rsid w:val="00DA57F0"/>
    <w:rsid w:val="00DB0A8F"/>
    <w:rsid w:val="00DB1EFE"/>
    <w:rsid w:val="00DB7C5A"/>
    <w:rsid w:val="00DC641A"/>
    <w:rsid w:val="00DD043E"/>
    <w:rsid w:val="00DD30B3"/>
    <w:rsid w:val="00DD46F3"/>
    <w:rsid w:val="00DE0B76"/>
    <w:rsid w:val="00DE1D93"/>
    <w:rsid w:val="00DE28B8"/>
    <w:rsid w:val="00DE3EF7"/>
    <w:rsid w:val="00DF065F"/>
    <w:rsid w:val="00DF2E11"/>
    <w:rsid w:val="00DF2F82"/>
    <w:rsid w:val="00DF342B"/>
    <w:rsid w:val="00DF52AD"/>
    <w:rsid w:val="00DF546B"/>
    <w:rsid w:val="00DF5590"/>
    <w:rsid w:val="00DF650D"/>
    <w:rsid w:val="00DF6662"/>
    <w:rsid w:val="00DF798B"/>
    <w:rsid w:val="00DF79B2"/>
    <w:rsid w:val="00E02A46"/>
    <w:rsid w:val="00E04E03"/>
    <w:rsid w:val="00E056FB"/>
    <w:rsid w:val="00E06122"/>
    <w:rsid w:val="00E06FC2"/>
    <w:rsid w:val="00E1774F"/>
    <w:rsid w:val="00E178E2"/>
    <w:rsid w:val="00E20687"/>
    <w:rsid w:val="00E21D3D"/>
    <w:rsid w:val="00E222BD"/>
    <w:rsid w:val="00E22506"/>
    <w:rsid w:val="00E24CAA"/>
    <w:rsid w:val="00E2531B"/>
    <w:rsid w:val="00E27FCA"/>
    <w:rsid w:val="00E3049C"/>
    <w:rsid w:val="00E30888"/>
    <w:rsid w:val="00E312BF"/>
    <w:rsid w:val="00E315A0"/>
    <w:rsid w:val="00E3237A"/>
    <w:rsid w:val="00E3466A"/>
    <w:rsid w:val="00E36111"/>
    <w:rsid w:val="00E41036"/>
    <w:rsid w:val="00E44AF8"/>
    <w:rsid w:val="00E465D9"/>
    <w:rsid w:val="00E47085"/>
    <w:rsid w:val="00E51B0E"/>
    <w:rsid w:val="00E61197"/>
    <w:rsid w:val="00E62642"/>
    <w:rsid w:val="00E62759"/>
    <w:rsid w:val="00E6543E"/>
    <w:rsid w:val="00E66767"/>
    <w:rsid w:val="00E70DD1"/>
    <w:rsid w:val="00E725B8"/>
    <w:rsid w:val="00E739A9"/>
    <w:rsid w:val="00E73C57"/>
    <w:rsid w:val="00E75C49"/>
    <w:rsid w:val="00E761AE"/>
    <w:rsid w:val="00E8339E"/>
    <w:rsid w:val="00E83740"/>
    <w:rsid w:val="00E84B99"/>
    <w:rsid w:val="00E90253"/>
    <w:rsid w:val="00E9293B"/>
    <w:rsid w:val="00E9588D"/>
    <w:rsid w:val="00E97849"/>
    <w:rsid w:val="00EA016B"/>
    <w:rsid w:val="00EA60BF"/>
    <w:rsid w:val="00EB00CC"/>
    <w:rsid w:val="00EB68D1"/>
    <w:rsid w:val="00EC2702"/>
    <w:rsid w:val="00EC3261"/>
    <w:rsid w:val="00EC44C7"/>
    <w:rsid w:val="00EC5DB0"/>
    <w:rsid w:val="00EC6919"/>
    <w:rsid w:val="00EC7479"/>
    <w:rsid w:val="00ED2DA5"/>
    <w:rsid w:val="00ED4AEE"/>
    <w:rsid w:val="00EE03C8"/>
    <w:rsid w:val="00EE4632"/>
    <w:rsid w:val="00EE4EFD"/>
    <w:rsid w:val="00EE585B"/>
    <w:rsid w:val="00EE59AE"/>
    <w:rsid w:val="00EF0265"/>
    <w:rsid w:val="00EF3425"/>
    <w:rsid w:val="00EF567A"/>
    <w:rsid w:val="00EF77D6"/>
    <w:rsid w:val="00F014E7"/>
    <w:rsid w:val="00F0202E"/>
    <w:rsid w:val="00F02255"/>
    <w:rsid w:val="00F047AC"/>
    <w:rsid w:val="00F138BA"/>
    <w:rsid w:val="00F1476F"/>
    <w:rsid w:val="00F15ADA"/>
    <w:rsid w:val="00F16DD6"/>
    <w:rsid w:val="00F21D92"/>
    <w:rsid w:val="00F2426A"/>
    <w:rsid w:val="00F24DAB"/>
    <w:rsid w:val="00F2511E"/>
    <w:rsid w:val="00F30FE2"/>
    <w:rsid w:val="00F34769"/>
    <w:rsid w:val="00F36F4A"/>
    <w:rsid w:val="00F414FC"/>
    <w:rsid w:val="00F4557B"/>
    <w:rsid w:val="00F51C9E"/>
    <w:rsid w:val="00F52613"/>
    <w:rsid w:val="00F56DA8"/>
    <w:rsid w:val="00F63364"/>
    <w:rsid w:val="00F64335"/>
    <w:rsid w:val="00F65CE5"/>
    <w:rsid w:val="00F65DC5"/>
    <w:rsid w:val="00F6729A"/>
    <w:rsid w:val="00F67634"/>
    <w:rsid w:val="00F67E7B"/>
    <w:rsid w:val="00F70398"/>
    <w:rsid w:val="00F70D37"/>
    <w:rsid w:val="00F7189F"/>
    <w:rsid w:val="00F73600"/>
    <w:rsid w:val="00F73D86"/>
    <w:rsid w:val="00F81980"/>
    <w:rsid w:val="00F851E4"/>
    <w:rsid w:val="00F854F5"/>
    <w:rsid w:val="00F878D7"/>
    <w:rsid w:val="00F90434"/>
    <w:rsid w:val="00F91E92"/>
    <w:rsid w:val="00F940BD"/>
    <w:rsid w:val="00FA0A09"/>
    <w:rsid w:val="00FA1563"/>
    <w:rsid w:val="00FA1757"/>
    <w:rsid w:val="00FA3C88"/>
    <w:rsid w:val="00FA40BE"/>
    <w:rsid w:val="00FA4B5D"/>
    <w:rsid w:val="00FA73E2"/>
    <w:rsid w:val="00FA7C7A"/>
    <w:rsid w:val="00FB1344"/>
    <w:rsid w:val="00FB60A8"/>
    <w:rsid w:val="00FC2C48"/>
    <w:rsid w:val="00FC2D96"/>
    <w:rsid w:val="00FC4033"/>
    <w:rsid w:val="00FC4BA1"/>
    <w:rsid w:val="00FC4BCF"/>
    <w:rsid w:val="00FC65E8"/>
    <w:rsid w:val="00FD14DD"/>
    <w:rsid w:val="00FD1AF9"/>
    <w:rsid w:val="00FD4AC0"/>
    <w:rsid w:val="00FD6BED"/>
    <w:rsid w:val="00FE164E"/>
    <w:rsid w:val="00FE16A0"/>
    <w:rsid w:val="00FE4C3E"/>
    <w:rsid w:val="00FE7158"/>
    <w:rsid w:val="00FE7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szCs w:val="18"/>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65"/>
    <w:rPr>
      <w:lang w:val="en-GB"/>
    </w:rPr>
  </w:style>
  <w:style w:type="paragraph" w:styleId="Heading1">
    <w:name w:val="heading 1"/>
    <w:basedOn w:val="Normal"/>
    <w:next w:val="Normal"/>
    <w:link w:val="Heading1Char"/>
    <w:uiPriority w:val="9"/>
    <w:qFormat/>
    <w:rsid w:val="00196A72"/>
    <w:pPr>
      <w:keepNext/>
      <w:keepLines/>
      <w:numPr>
        <w:numId w:val="3"/>
      </w:numPr>
      <w:shd w:val="clear" w:color="auto" w:fill="2F5496" w:themeFill="accent1" w:themeFillShade="BF"/>
      <w:spacing w:before="240"/>
      <w:outlineLvl w:val="0"/>
    </w:pPr>
    <w:rPr>
      <w:rFonts w:eastAsiaTheme="majorEastAsia" w:cstheme="majorBidi"/>
      <w:b/>
      <w:color w:val="EDEDED" w:themeColor="accent3" w:themeTint="33"/>
      <w:sz w:val="26"/>
      <w:szCs w:val="32"/>
    </w:rPr>
  </w:style>
  <w:style w:type="paragraph" w:styleId="Heading2">
    <w:name w:val="heading 2"/>
    <w:basedOn w:val="Normal"/>
    <w:next w:val="Normal"/>
    <w:link w:val="Heading2Char"/>
    <w:uiPriority w:val="9"/>
    <w:unhideWhenUsed/>
    <w:qFormat/>
    <w:rsid w:val="00196A72"/>
    <w:pPr>
      <w:keepNext/>
      <w:keepLines/>
      <w:spacing w:before="4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4D327D"/>
    <w:pPr>
      <w:keepNext/>
      <w:keepLines/>
      <w:spacing w:before="40"/>
      <w:outlineLvl w:val="2"/>
    </w:pPr>
    <w:rPr>
      <w:rFonts w:eastAsiaTheme="majorEastAsia" w:cstheme="majorBidi"/>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A72"/>
    <w:rPr>
      <w:rFonts w:eastAsiaTheme="majorEastAsia" w:cstheme="majorBidi"/>
      <w:b/>
      <w:color w:val="EDEDED" w:themeColor="accent3" w:themeTint="33"/>
      <w:sz w:val="26"/>
      <w:szCs w:val="32"/>
      <w:shd w:val="clear" w:color="auto" w:fill="2F5496" w:themeFill="accent1" w:themeFillShade="BF"/>
      <w:lang w:val="en-GB"/>
    </w:rPr>
  </w:style>
  <w:style w:type="character" w:customStyle="1" w:styleId="Heading2Char">
    <w:name w:val="Heading 2 Char"/>
    <w:basedOn w:val="DefaultParagraphFont"/>
    <w:link w:val="Heading2"/>
    <w:uiPriority w:val="9"/>
    <w:rsid w:val="00196A72"/>
    <w:rPr>
      <w:rFonts w:eastAsiaTheme="majorEastAsia" w:cstheme="majorBidi"/>
      <w:b/>
      <w:color w:val="2F5496" w:themeColor="accent1" w:themeShade="BF"/>
      <w:sz w:val="24"/>
      <w:szCs w:val="26"/>
      <w:lang w:val="en-GB"/>
    </w:rPr>
  </w:style>
  <w:style w:type="character" w:customStyle="1" w:styleId="Heading3Char">
    <w:name w:val="Heading 3 Char"/>
    <w:basedOn w:val="DefaultParagraphFont"/>
    <w:link w:val="Heading3"/>
    <w:uiPriority w:val="9"/>
    <w:rsid w:val="004D327D"/>
    <w:rPr>
      <w:rFonts w:eastAsiaTheme="majorEastAsia" w:cstheme="majorBidi"/>
      <w:color w:val="000000" w:themeColor="text1"/>
      <w:sz w:val="22"/>
      <w:szCs w:val="24"/>
      <w:lang w:val="en-GB"/>
    </w:rPr>
  </w:style>
  <w:style w:type="paragraph" w:styleId="ListParagraph">
    <w:name w:val="List Paragraph"/>
    <w:aliases w:val="Bullet Points,Liststycke SKL,Bullet list,Table of contents numbered,Liste Paragraf,Normal bullet 2,içindekiler vb,Sombreado multicolor - Énfasis 31,List Paragraph1,Bullet OFM,List Paragraph (numbered (a)),List Paragraph11,Numbered List"/>
    <w:basedOn w:val="Normal"/>
    <w:link w:val="ListParagraphChar"/>
    <w:uiPriority w:val="34"/>
    <w:qFormat/>
    <w:rsid w:val="00DA06C9"/>
    <w:pPr>
      <w:ind w:left="720"/>
      <w:contextualSpacing/>
    </w:p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 Paragraph1 Char,Bullet OFM Char"/>
    <w:link w:val="ListParagraph"/>
    <w:uiPriority w:val="34"/>
    <w:qFormat/>
    <w:locked/>
    <w:rsid w:val="009F3494"/>
    <w:rPr>
      <w:lang w:val="en-GB"/>
    </w:rPr>
  </w:style>
  <w:style w:type="paragraph" w:styleId="FootnoteText">
    <w:name w:val="footnote text"/>
    <w:aliases w:val="single space,footnote text,FOOTNOTES,fn,Testo nota a piè di pagina Carattere,Geneva 9,Font: Geneva 9,Boston 10,f,Footnote Text Char Char,Footnote Text Char Char Char,ft,Voetnoottekst Maarten,Fußnote,Footnote Text Char1 Char,A"/>
    <w:basedOn w:val="Normal"/>
    <w:link w:val="FootnoteTextChar"/>
    <w:uiPriority w:val="99"/>
    <w:unhideWhenUsed/>
    <w:rsid w:val="00DA06C9"/>
    <w:rPr>
      <w:rFonts w:asciiTheme="minorHAnsi" w:hAnsiTheme="minorHAnsi" w:cstheme="minorBidi"/>
      <w:szCs w:val="20"/>
      <w:lang w:val="en-US"/>
    </w:rPr>
  </w:style>
  <w:style w:type="character" w:customStyle="1" w:styleId="FootnoteTextChar">
    <w:name w:val="Footnote Text Char"/>
    <w:aliases w:val="single space Char,footnote text Char,FOOTNOTES Char,fn Char,Testo nota a piè di pagina Carattere Char,Geneva 9 Char,Font: Geneva 9 Char,Boston 10 Char,f Char,Footnote Text Char Char Char1,Footnote Text Char Char Char Char,ft Char"/>
    <w:basedOn w:val="DefaultParagraphFont"/>
    <w:link w:val="FootnoteText"/>
    <w:uiPriority w:val="99"/>
    <w:rsid w:val="00DA06C9"/>
    <w:rPr>
      <w:rFonts w:asciiTheme="minorHAnsi" w:hAnsiTheme="minorHAnsi" w:cstheme="minorBidi"/>
      <w:szCs w:val="20"/>
      <w:lang w:val="en-US"/>
    </w:rPr>
  </w:style>
  <w:style w:type="character" w:styleId="FootnoteReference">
    <w:name w:val="footnote reference"/>
    <w:aliases w:val="16 Point,Superscript 6 Point"/>
    <w:basedOn w:val="DefaultParagraphFont"/>
    <w:uiPriority w:val="99"/>
    <w:unhideWhenUsed/>
    <w:rsid w:val="00DA06C9"/>
    <w:rPr>
      <w:vertAlign w:val="superscript"/>
    </w:rPr>
  </w:style>
  <w:style w:type="table" w:styleId="TableGrid">
    <w:name w:val="Table Grid"/>
    <w:basedOn w:val="TableNormal"/>
    <w:uiPriority w:val="39"/>
    <w:rsid w:val="00F16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7EC"/>
    <w:pPr>
      <w:tabs>
        <w:tab w:val="center" w:pos="4536"/>
        <w:tab w:val="right" w:pos="9072"/>
      </w:tabs>
    </w:pPr>
  </w:style>
  <w:style w:type="character" w:customStyle="1" w:styleId="HeaderChar">
    <w:name w:val="Header Char"/>
    <w:basedOn w:val="DefaultParagraphFont"/>
    <w:link w:val="Header"/>
    <w:uiPriority w:val="99"/>
    <w:rsid w:val="000717EC"/>
    <w:rPr>
      <w:lang w:val="en-GB"/>
    </w:rPr>
  </w:style>
  <w:style w:type="paragraph" w:styleId="Footer">
    <w:name w:val="footer"/>
    <w:basedOn w:val="Normal"/>
    <w:link w:val="FooterChar"/>
    <w:uiPriority w:val="99"/>
    <w:unhideWhenUsed/>
    <w:rsid w:val="000717EC"/>
    <w:pPr>
      <w:tabs>
        <w:tab w:val="center" w:pos="4536"/>
        <w:tab w:val="right" w:pos="9072"/>
      </w:tabs>
    </w:pPr>
  </w:style>
  <w:style w:type="character" w:customStyle="1" w:styleId="FooterChar">
    <w:name w:val="Footer Char"/>
    <w:basedOn w:val="DefaultParagraphFont"/>
    <w:link w:val="Footer"/>
    <w:uiPriority w:val="99"/>
    <w:rsid w:val="000717EC"/>
    <w:rPr>
      <w:lang w:val="en-GB"/>
    </w:rPr>
  </w:style>
  <w:style w:type="paragraph" w:styleId="NoSpacing">
    <w:name w:val="No Spacing"/>
    <w:link w:val="NoSpacingChar"/>
    <w:uiPriority w:val="99"/>
    <w:qFormat/>
    <w:rsid w:val="00164B39"/>
    <w:rPr>
      <w:rFonts w:ascii="Calibri" w:eastAsia="Times New Roman" w:hAnsi="Calibri" w:cs="Calibri"/>
      <w:sz w:val="22"/>
      <w:szCs w:val="22"/>
      <w:lang w:val="en-US"/>
    </w:rPr>
  </w:style>
  <w:style w:type="character" w:customStyle="1" w:styleId="NoSpacingChar">
    <w:name w:val="No Spacing Char"/>
    <w:link w:val="NoSpacing"/>
    <w:uiPriority w:val="99"/>
    <w:locked/>
    <w:rsid w:val="00164B39"/>
    <w:rPr>
      <w:rFonts w:ascii="Calibri" w:eastAsia="Times New Roman" w:hAnsi="Calibri" w:cs="Calibri"/>
      <w:sz w:val="22"/>
      <w:szCs w:val="22"/>
      <w:lang w:val="en-US"/>
    </w:rPr>
  </w:style>
  <w:style w:type="paragraph" w:styleId="NormalWeb">
    <w:name w:val="Normal (Web)"/>
    <w:basedOn w:val="Normal"/>
    <w:uiPriority w:val="99"/>
    <w:semiHidden/>
    <w:unhideWhenUsed/>
    <w:rsid w:val="00633B5F"/>
    <w:pPr>
      <w:spacing w:before="100" w:beforeAutospacing="1" w:after="100" w:afterAutospacing="1"/>
    </w:pPr>
    <w:rPr>
      <w:rFonts w:ascii="Times New Roman" w:eastAsia="Times New Roman" w:hAnsi="Times New Roman"/>
      <w:sz w:val="24"/>
      <w:szCs w:val="24"/>
      <w:lang w:val="sl-SI" w:eastAsia="sl-SI"/>
    </w:rPr>
  </w:style>
  <w:style w:type="paragraph" w:styleId="BalloonText">
    <w:name w:val="Balloon Text"/>
    <w:basedOn w:val="Normal"/>
    <w:link w:val="BalloonTextChar"/>
    <w:uiPriority w:val="99"/>
    <w:semiHidden/>
    <w:unhideWhenUsed/>
    <w:rsid w:val="00C8416C"/>
    <w:rPr>
      <w:rFonts w:ascii="Segoe UI" w:hAnsi="Segoe UI" w:cs="Segoe UI"/>
      <w:sz w:val="18"/>
    </w:rPr>
  </w:style>
  <w:style w:type="character" w:customStyle="1" w:styleId="BalloonTextChar">
    <w:name w:val="Balloon Text Char"/>
    <w:basedOn w:val="DefaultParagraphFont"/>
    <w:link w:val="BalloonText"/>
    <w:uiPriority w:val="99"/>
    <w:semiHidden/>
    <w:rsid w:val="00C8416C"/>
    <w:rPr>
      <w:rFonts w:ascii="Segoe UI" w:hAnsi="Segoe UI" w:cs="Segoe UI"/>
      <w:sz w:val="18"/>
      <w:lang w:val="en-GB"/>
    </w:rPr>
  </w:style>
  <w:style w:type="paragraph" w:styleId="TOC1">
    <w:name w:val="toc 1"/>
    <w:basedOn w:val="Normal"/>
    <w:next w:val="Normal"/>
    <w:autoRedefine/>
    <w:uiPriority w:val="39"/>
    <w:unhideWhenUsed/>
    <w:rsid w:val="00385224"/>
    <w:pPr>
      <w:tabs>
        <w:tab w:val="left" w:pos="400"/>
        <w:tab w:val="right" w:leader="dot" w:pos="9231"/>
      </w:tabs>
      <w:spacing w:before="120" w:after="120"/>
    </w:pPr>
    <w:rPr>
      <w:rFonts w:cstheme="minorHAnsi"/>
      <w:b/>
      <w:bCs/>
      <w:caps/>
      <w:noProof/>
      <w:color w:val="1F4E79" w:themeColor="accent5" w:themeShade="80"/>
      <w:sz w:val="22"/>
      <w:szCs w:val="22"/>
      <w:lang w:val="hr-HR"/>
    </w:rPr>
  </w:style>
  <w:style w:type="paragraph" w:styleId="TOC2">
    <w:name w:val="toc 2"/>
    <w:basedOn w:val="Normal"/>
    <w:next w:val="Normal"/>
    <w:autoRedefine/>
    <w:uiPriority w:val="39"/>
    <w:unhideWhenUsed/>
    <w:rsid w:val="00C32B1C"/>
    <w:pPr>
      <w:ind w:left="200"/>
    </w:pPr>
    <w:rPr>
      <w:rFonts w:asciiTheme="minorHAnsi" w:hAnsiTheme="minorHAnsi" w:cstheme="minorHAnsi"/>
      <w:smallCaps/>
      <w:szCs w:val="20"/>
    </w:rPr>
  </w:style>
  <w:style w:type="paragraph" w:styleId="TOC3">
    <w:name w:val="toc 3"/>
    <w:basedOn w:val="Normal"/>
    <w:next w:val="Normal"/>
    <w:autoRedefine/>
    <w:uiPriority w:val="39"/>
    <w:unhideWhenUsed/>
    <w:rsid w:val="00CE48EC"/>
    <w:pPr>
      <w:ind w:left="400"/>
    </w:pPr>
    <w:rPr>
      <w:rFonts w:asciiTheme="minorHAnsi" w:hAnsiTheme="minorHAnsi" w:cstheme="minorHAnsi"/>
      <w:i/>
      <w:iCs/>
      <w:szCs w:val="20"/>
    </w:rPr>
  </w:style>
  <w:style w:type="paragraph" w:styleId="TOC4">
    <w:name w:val="toc 4"/>
    <w:basedOn w:val="Normal"/>
    <w:next w:val="Normal"/>
    <w:autoRedefine/>
    <w:uiPriority w:val="39"/>
    <w:unhideWhenUsed/>
    <w:rsid w:val="00CE48EC"/>
    <w:pPr>
      <w:ind w:left="600"/>
    </w:pPr>
    <w:rPr>
      <w:rFonts w:asciiTheme="minorHAnsi" w:hAnsiTheme="minorHAnsi" w:cstheme="minorHAnsi"/>
      <w:sz w:val="18"/>
    </w:rPr>
  </w:style>
  <w:style w:type="paragraph" w:styleId="TOC5">
    <w:name w:val="toc 5"/>
    <w:basedOn w:val="Normal"/>
    <w:next w:val="Normal"/>
    <w:autoRedefine/>
    <w:uiPriority w:val="39"/>
    <w:unhideWhenUsed/>
    <w:rsid w:val="00CE48EC"/>
    <w:pPr>
      <w:ind w:left="800"/>
    </w:pPr>
    <w:rPr>
      <w:rFonts w:asciiTheme="minorHAnsi" w:hAnsiTheme="minorHAnsi" w:cstheme="minorHAnsi"/>
      <w:sz w:val="18"/>
    </w:rPr>
  </w:style>
  <w:style w:type="paragraph" w:styleId="TOC6">
    <w:name w:val="toc 6"/>
    <w:basedOn w:val="Normal"/>
    <w:next w:val="Normal"/>
    <w:autoRedefine/>
    <w:uiPriority w:val="39"/>
    <w:unhideWhenUsed/>
    <w:rsid w:val="00CE48EC"/>
    <w:pPr>
      <w:ind w:left="1000"/>
    </w:pPr>
    <w:rPr>
      <w:rFonts w:asciiTheme="minorHAnsi" w:hAnsiTheme="minorHAnsi" w:cstheme="minorHAnsi"/>
      <w:sz w:val="18"/>
    </w:rPr>
  </w:style>
  <w:style w:type="paragraph" w:styleId="TOC7">
    <w:name w:val="toc 7"/>
    <w:basedOn w:val="Normal"/>
    <w:next w:val="Normal"/>
    <w:autoRedefine/>
    <w:uiPriority w:val="39"/>
    <w:unhideWhenUsed/>
    <w:rsid w:val="00CE48EC"/>
    <w:pPr>
      <w:ind w:left="1200"/>
    </w:pPr>
    <w:rPr>
      <w:rFonts w:asciiTheme="minorHAnsi" w:hAnsiTheme="minorHAnsi" w:cstheme="minorHAnsi"/>
      <w:sz w:val="18"/>
    </w:rPr>
  </w:style>
  <w:style w:type="paragraph" w:styleId="TOC8">
    <w:name w:val="toc 8"/>
    <w:basedOn w:val="Normal"/>
    <w:next w:val="Normal"/>
    <w:autoRedefine/>
    <w:uiPriority w:val="39"/>
    <w:unhideWhenUsed/>
    <w:rsid w:val="00CE48EC"/>
    <w:pPr>
      <w:ind w:left="1400"/>
    </w:pPr>
    <w:rPr>
      <w:rFonts w:asciiTheme="minorHAnsi" w:hAnsiTheme="minorHAnsi" w:cstheme="minorHAnsi"/>
      <w:sz w:val="18"/>
    </w:rPr>
  </w:style>
  <w:style w:type="paragraph" w:styleId="TOC9">
    <w:name w:val="toc 9"/>
    <w:basedOn w:val="Normal"/>
    <w:next w:val="Normal"/>
    <w:autoRedefine/>
    <w:uiPriority w:val="39"/>
    <w:unhideWhenUsed/>
    <w:rsid w:val="00CE48EC"/>
    <w:pPr>
      <w:ind w:left="1600"/>
    </w:pPr>
    <w:rPr>
      <w:rFonts w:asciiTheme="minorHAnsi" w:hAnsiTheme="minorHAnsi" w:cstheme="minorHAnsi"/>
      <w:sz w:val="18"/>
    </w:rPr>
  </w:style>
  <w:style w:type="character" w:styleId="Hyperlink">
    <w:name w:val="Hyperlink"/>
    <w:basedOn w:val="DefaultParagraphFont"/>
    <w:uiPriority w:val="99"/>
    <w:unhideWhenUsed/>
    <w:rsid w:val="00CE48EC"/>
    <w:rPr>
      <w:color w:val="0563C1" w:themeColor="hyperlink"/>
      <w:u w:val="single"/>
    </w:rPr>
  </w:style>
  <w:style w:type="character" w:styleId="Emphasis">
    <w:name w:val="Emphasis"/>
    <w:basedOn w:val="DefaultParagraphFont"/>
    <w:uiPriority w:val="20"/>
    <w:qFormat/>
    <w:rsid w:val="000E3567"/>
    <w:rPr>
      <w:i/>
      <w:iCs/>
    </w:rPr>
  </w:style>
  <w:style w:type="character" w:styleId="CommentReference">
    <w:name w:val="annotation reference"/>
    <w:basedOn w:val="DefaultParagraphFont"/>
    <w:uiPriority w:val="99"/>
    <w:semiHidden/>
    <w:unhideWhenUsed/>
    <w:rsid w:val="004E3492"/>
    <w:rPr>
      <w:sz w:val="16"/>
      <w:szCs w:val="16"/>
    </w:rPr>
  </w:style>
  <w:style w:type="paragraph" w:styleId="CommentText">
    <w:name w:val="annotation text"/>
    <w:basedOn w:val="Normal"/>
    <w:link w:val="CommentTextChar"/>
    <w:uiPriority w:val="99"/>
    <w:semiHidden/>
    <w:unhideWhenUsed/>
    <w:rsid w:val="004E3492"/>
    <w:rPr>
      <w:szCs w:val="20"/>
    </w:rPr>
  </w:style>
  <w:style w:type="character" w:customStyle="1" w:styleId="CommentTextChar">
    <w:name w:val="Comment Text Char"/>
    <w:basedOn w:val="DefaultParagraphFont"/>
    <w:link w:val="CommentText"/>
    <w:uiPriority w:val="99"/>
    <w:semiHidden/>
    <w:rsid w:val="004E3492"/>
    <w:rPr>
      <w:szCs w:val="20"/>
      <w:lang w:val="en-GB"/>
    </w:rPr>
  </w:style>
  <w:style w:type="paragraph" w:styleId="CommentSubject">
    <w:name w:val="annotation subject"/>
    <w:basedOn w:val="CommentText"/>
    <w:next w:val="CommentText"/>
    <w:link w:val="CommentSubjectChar"/>
    <w:uiPriority w:val="99"/>
    <w:semiHidden/>
    <w:unhideWhenUsed/>
    <w:rsid w:val="004E3492"/>
    <w:rPr>
      <w:b/>
      <w:bCs/>
    </w:rPr>
  </w:style>
  <w:style w:type="character" w:customStyle="1" w:styleId="CommentSubjectChar">
    <w:name w:val="Comment Subject Char"/>
    <w:basedOn w:val="CommentTextChar"/>
    <w:link w:val="CommentSubject"/>
    <w:uiPriority w:val="99"/>
    <w:semiHidden/>
    <w:rsid w:val="004E3492"/>
    <w:rPr>
      <w:b/>
      <w:bCs/>
      <w:szCs w:val="20"/>
      <w:lang w:val="en-GB"/>
    </w:rPr>
  </w:style>
  <w:style w:type="character" w:customStyle="1" w:styleId="Nerazreenaomemba1">
    <w:name w:val="Nerazrešena omemba1"/>
    <w:basedOn w:val="DefaultParagraphFont"/>
    <w:uiPriority w:val="99"/>
    <w:semiHidden/>
    <w:unhideWhenUsed/>
    <w:rsid w:val="00CA1329"/>
    <w:rPr>
      <w:color w:val="605E5C"/>
      <w:shd w:val="clear" w:color="auto" w:fill="E1DFDD"/>
    </w:rPr>
  </w:style>
  <w:style w:type="character" w:styleId="Strong">
    <w:name w:val="Strong"/>
    <w:basedOn w:val="DefaultParagraphFont"/>
    <w:uiPriority w:val="22"/>
    <w:qFormat/>
    <w:rsid w:val="00394DCA"/>
    <w:rPr>
      <w:b/>
      <w:bCs/>
    </w:rPr>
  </w:style>
  <w:style w:type="table" w:customStyle="1" w:styleId="Navadnatabela21">
    <w:name w:val="Navadna tabela 21"/>
    <w:basedOn w:val="TableNormal"/>
    <w:uiPriority w:val="42"/>
    <w:rsid w:val="002E353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A612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3">
    <w:name w:val="Body Text 3"/>
    <w:basedOn w:val="Normal"/>
    <w:link w:val="BodyText3Char"/>
    <w:uiPriority w:val="99"/>
    <w:rsid w:val="008A2F99"/>
    <w:pPr>
      <w:jc w:val="both"/>
    </w:pPr>
    <w:rPr>
      <w:rFonts w:ascii="Times New Roman" w:eastAsia="Times New Roman" w:hAnsi="Times New Roman"/>
      <w:bCs/>
      <w:sz w:val="24"/>
      <w:szCs w:val="24"/>
      <w:lang w:val="sl-SI"/>
    </w:rPr>
  </w:style>
  <w:style w:type="character" w:customStyle="1" w:styleId="BodyText3Char">
    <w:name w:val="Body Text 3 Char"/>
    <w:basedOn w:val="DefaultParagraphFont"/>
    <w:link w:val="BodyText3"/>
    <w:uiPriority w:val="99"/>
    <w:rsid w:val="008A2F99"/>
    <w:rPr>
      <w:rFonts w:ascii="Times New Roman" w:eastAsia="Times New Roman" w:hAnsi="Times New Roman"/>
      <w:bCs/>
      <w:sz w:val="24"/>
      <w:szCs w:val="24"/>
    </w:rPr>
  </w:style>
  <w:style w:type="character" w:customStyle="1" w:styleId="Nerazreenaomemba2">
    <w:name w:val="Nerazrešena omemba2"/>
    <w:basedOn w:val="DefaultParagraphFont"/>
    <w:uiPriority w:val="99"/>
    <w:semiHidden/>
    <w:unhideWhenUsed/>
    <w:rsid w:val="008A1E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Cs w:val="18"/>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65"/>
    <w:rPr>
      <w:lang w:val="en-GB"/>
    </w:rPr>
  </w:style>
  <w:style w:type="paragraph" w:styleId="Heading1">
    <w:name w:val="heading 1"/>
    <w:basedOn w:val="Normal"/>
    <w:next w:val="Normal"/>
    <w:link w:val="Heading1Char"/>
    <w:uiPriority w:val="9"/>
    <w:qFormat/>
    <w:rsid w:val="00196A72"/>
    <w:pPr>
      <w:keepNext/>
      <w:keepLines/>
      <w:numPr>
        <w:numId w:val="3"/>
      </w:numPr>
      <w:shd w:val="clear" w:color="auto" w:fill="2F5496" w:themeFill="accent1" w:themeFillShade="BF"/>
      <w:spacing w:before="240"/>
      <w:outlineLvl w:val="0"/>
    </w:pPr>
    <w:rPr>
      <w:rFonts w:eastAsiaTheme="majorEastAsia" w:cstheme="majorBidi"/>
      <w:b/>
      <w:color w:val="EDEDED" w:themeColor="accent3" w:themeTint="33"/>
      <w:sz w:val="26"/>
      <w:szCs w:val="32"/>
    </w:rPr>
  </w:style>
  <w:style w:type="paragraph" w:styleId="Heading2">
    <w:name w:val="heading 2"/>
    <w:basedOn w:val="Normal"/>
    <w:next w:val="Normal"/>
    <w:link w:val="Heading2Char"/>
    <w:uiPriority w:val="9"/>
    <w:unhideWhenUsed/>
    <w:qFormat/>
    <w:rsid w:val="00196A72"/>
    <w:pPr>
      <w:keepNext/>
      <w:keepLines/>
      <w:spacing w:before="4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4D327D"/>
    <w:pPr>
      <w:keepNext/>
      <w:keepLines/>
      <w:spacing w:before="40"/>
      <w:outlineLvl w:val="2"/>
    </w:pPr>
    <w:rPr>
      <w:rFonts w:eastAsiaTheme="majorEastAsia" w:cstheme="majorBidi"/>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A72"/>
    <w:rPr>
      <w:rFonts w:eastAsiaTheme="majorEastAsia" w:cstheme="majorBidi"/>
      <w:b/>
      <w:color w:val="EDEDED" w:themeColor="accent3" w:themeTint="33"/>
      <w:sz w:val="26"/>
      <w:szCs w:val="32"/>
      <w:shd w:val="clear" w:color="auto" w:fill="2F5496" w:themeFill="accent1" w:themeFillShade="BF"/>
      <w:lang w:val="en-GB"/>
    </w:rPr>
  </w:style>
  <w:style w:type="character" w:customStyle="1" w:styleId="Heading2Char">
    <w:name w:val="Heading 2 Char"/>
    <w:basedOn w:val="DefaultParagraphFont"/>
    <w:link w:val="Heading2"/>
    <w:uiPriority w:val="9"/>
    <w:rsid w:val="00196A72"/>
    <w:rPr>
      <w:rFonts w:eastAsiaTheme="majorEastAsia" w:cstheme="majorBidi"/>
      <w:b/>
      <w:color w:val="2F5496" w:themeColor="accent1" w:themeShade="BF"/>
      <w:sz w:val="24"/>
      <w:szCs w:val="26"/>
      <w:lang w:val="en-GB"/>
    </w:rPr>
  </w:style>
  <w:style w:type="character" w:customStyle="1" w:styleId="Heading3Char">
    <w:name w:val="Heading 3 Char"/>
    <w:basedOn w:val="DefaultParagraphFont"/>
    <w:link w:val="Heading3"/>
    <w:uiPriority w:val="9"/>
    <w:rsid w:val="004D327D"/>
    <w:rPr>
      <w:rFonts w:eastAsiaTheme="majorEastAsia" w:cstheme="majorBidi"/>
      <w:color w:val="000000" w:themeColor="text1"/>
      <w:sz w:val="22"/>
      <w:szCs w:val="24"/>
      <w:lang w:val="en-GB"/>
    </w:rPr>
  </w:style>
  <w:style w:type="paragraph" w:styleId="ListParagraph">
    <w:name w:val="List Paragraph"/>
    <w:aliases w:val="Bullet Points,Liststycke SKL,Bullet list,Table of contents numbered,Liste Paragraf,Normal bullet 2,içindekiler vb,Sombreado multicolor - Énfasis 31,List Paragraph1,Bullet OFM,List Paragraph (numbered (a)),List Paragraph11,Numbered List"/>
    <w:basedOn w:val="Normal"/>
    <w:link w:val="ListParagraphChar"/>
    <w:uiPriority w:val="34"/>
    <w:qFormat/>
    <w:rsid w:val="00DA06C9"/>
    <w:pPr>
      <w:ind w:left="720"/>
      <w:contextualSpacing/>
    </w:p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 Paragraph1 Char,Bullet OFM Char"/>
    <w:link w:val="ListParagraph"/>
    <w:uiPriority w:val="34"/>
    <w:qFormat/>
    <w:locked/>
    <w:rsid w:val="009F3494"/>
    <w:rPr>
      <w:lang w:val="en-GB"/>
    </w:rPr>
  </w:style>
  <w:style w:type="paragraph" w:styleId="FootnoteText">
    <w:name w:val="footnote text"/>
    <w:aliases w:val="single space,footnote text,FOOTNOTES,fn,Testo nota a piè di pagina Carattere,Geneva 9,Font: Geneva 9,Boston 10,f,Footnote Text Char Char,Footnote Text Char Char Char,ft,Voetnoottekst Maarten,Fußnote,Footnote Text Char1 Char,A"/>
    <w:basedOn w:val="Normal"/>
    <w:link w:val="FootnoteTextChar"/>
    <w:uiPriority w:val="99"/>
    <w:unhideWhenUsed/>
    <w:rsid w:val="00DA06C9"/>
    <w:rPr>
      <w:rFonts w:asciiTheme="minorHAnsi" w:hAnsiTheme="minorHAnsi" w:cstheme="minorBidi"/>
      <w:szCs w:val="20"/>
      <w:lang w:val="en-US"/>
    </w:rPr>
  </w:style>
  <w:style w:type="character" w:customStyle="1" w:styleId="FootnoteTextChar">
    <w:name w:val="Footnote Text Char"/>
    <w:aliases w:val="single space Char,footnote text Char,FOOTNOTES Char,fn Char,Testo nota a piè di pagina Carattere Char,Geneva 9 Char,Font: Geneva 9 Char,Boston 10 Char,f Char,Footnote Text Char Char Char1,Footnote Text Char Char Char Char,ft Char"/>
    <w:basedOn w:val="DefaultParagraphFont"/>
    <w:link w:val="FootnoteText"/>
    <w:uiPriority w:val="99"/>
    <w:rsid w:val="00DA06C9"/>
    <w:rPr>
      <w:rFonts w:asciiTheme="minorHAnsi" w:hAnsiTheme="minorHAnsi" w:cstheme="minorBidi"/>
      <w:szCs w:val="20"/>
      <w:lang w:val="en-US"/>
    </w:rPr>
  </w:style>
  <w:style w:type="character" w:styleId="FootnoteReference">
    <w:name w:val="footnote reference"/>
    <w:aliases w:val="16 Point,Superscript 6 Point"/>
    <w:basedOn w:val="DefaultParagraphFont"/>
    <w:uiPriority w:val="99"/>
    <w:unhideWhenUsed/>
    <w:rsid w:val="00DA06C9"/>
    <w:rPr>
      <w:vertAlign w:val="superscript"/>
    </w:rPr>
  </w:style>
  <w:style w:type="table" w:styleId="TableGrid">
    <w:name w:val="Table Grid"/>
    <w:basedOn w:val="TableNormal"/>
    <w:uiPriority w:val="39"/>
    <w:rsid w:val="00F1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7EC"/>
    <w:pPr>
      <w:tabs>
        <w:tab w:val="center" w:pos="4536"/>
        <w:tab w:val="right" w:pos="9072"/>
      </w:tabs>
    </w:pPr>
  </w:style>
  <w:style w:type="character" w:customStyle="1" w:styleId="HeaderChar">
    <w:name w:val="Header Char"/>
    <w:basedOn w:val="DefaultParagraphFont"/>
    <w:link w:val="Header"/>
    <w:uiPriority w:val="99"/>
    <w:rsid w:val="000717EC"/>
    <w:rPr>
      <w:lang w:val="en-GB"/>
    </w:rPr>
  </w:style>
  <w:style w:type="paragraph" w:styleId="Footer">
    <w:name w:val="footer"/>
    <w:basedOn w:val="Normal"/>
    <w:link w:val="FooterChar"/>
    <w:uiPriority w:val="99"/>
    <w:unhideWhenUsed/>
    <w:rsid w:val="000717EC"/>
    <w:pPr>
      <w:tabs>
        <w:tab w:val="center" w:pos="4536"/>
        <w:tab w:val="right" w:pos="9072"/>
      </w:tabs>
    </w:pPr>
  </w:style>
  <w:style w:type="character" w:customStyle="1" w:styleId="FooterChar">
    <w:name w:val="Footer Char"/>
    <w:basedOn w:val="DefaultParagraphFont"/>
    <w:link w:val="Footer"/>
    <w:uiPriority w:val="99"/>
    <w:rsid w:val="000717EC"/>
    <w:rPr>
      <w:lang w:val="en-GB"/>
    </w:rPr>
  </w:style>
  <w:style w:type="paragraph" w:styleId="NoSpacing">
    <w:name w:val="No Spacing"/>
    <w:link w:val="NoSpacingChar"/>
    <w:uiPriority w:val="99"/>
    <w:qFormat/>
    <w:rsid w:val="00164B39"/>
    <w:rPr>
      <w:rFonts w:ascii="Calibri" w:eastAsia="Times New Roman" w:hAnsi="Calibri" w:cs="Calibri"/>
      <w:sz w:val="22"/>
      <w:szCs w:val="22"/>
      <w:lang w:val="en-US"/>
    </w:rPr>
  </w:style>
  <w:style w:type="character" w:customStyle="1" w:styleId="NoSpacingChar">
    <w:name w:val="No Spacing Char"/>
    <w:link w:val="NoSpacing"/>
    <w:uiPriority w:val="99"/>
    <w:locked/>
    <w:rsid w:val="00164B39"/>
    <w:rPr>
      <w:rFonts w:ascii="Calibri" w:eastAsia="Times New Roman" w:hAnsi="Calibri" w:cs="Calibri"/>
      <w:sz w:val="22"/>
      <w:szCs w:val="22"/>
      <w:lang w:val="en-US"/>
    </w:rPr>
  </w:style>
  <w:style w:type="paragraph" w:styleId="NormalWeb">
    <w:name w:val="Normal (Web)"/>
    <w:basedOn w:val="Normal"/>
    <w:uiPriority w:val="99"/>
    <w:semiHidden/>
    <w:unhideWhenUsed/>
    <w:rsid w:val="00633B5F"/>
    <w:pPr>
      <w:spacing w:before="100" w:beforeAutospacing="1" w:after="100" w:afterAutospacing="1"/>
    </w:pPr>
    <w:rPr>
      <w:rFonts w:ascii="Times New Roman" w:eastAsia="Times New Roman" w:hAnsi="Times New Roman"/>
      <w:sz w:val="24"/>
      <w:szCs w:val="24"/>
      <w:lang w:val="sl-SI" w:eastAsia="sl-SI"/>
    </w:rPr>
  </w:style>
  <w:style w:type="paragraph" w:styleId="BalloonText">
    <w:name w:val="Balloon Text"/>
    <w:basedOn w:val="Normal"/>
    <w:link w:val="BalloonTextChar"/>
    <w:uiPriority w:val="99"/>
    <w:semiHidden/>
    <w:unhideWhenUsed/>
    <w:rsid w:val="00C8416C"/>
    <w:rPr>
      <w:rFonts w:ascii="Segoe UI" w:hAnsi="Segoe UI" w:cs="Segoe UI"/>
      <w:sz w:val="18"/>
    </w:rPr>
  </w:style>
  <w:style w:type="character" w:customStyle="1" w:styleId="BalloonTextChar">
    <w:name w:val="Balloon Text Char"/>
    <w:basedOn w:val="DefaultParagraphFont"/>
    <w:link w:val="BalloonText"/>
    <w:uiPriority w:val="99"/>
    <w:semiHidden/>
    <w:rsid w:val="00C8416C"/>
    <w:rPr>
      <w:rFonts w:ascii="Segoe UI" w:hAnsi="Segoe UI" w:cs="Segoe UI"/>
      <w:sz w:val="18"/>
      <w:lang w:val="en-GB"/>
    </w:rPr>
  </w:style>
  <w:style w:type="paragraph" w:styleId="TOC1">
    <w:name w:val="toc 1"/>
    <w:basedOn w:val="Normal"/>
    <w:next w:val="Normal"/>
    <w:autoRedefine/>
    <w:uiPriority w:val="39"/>
    <w:unhideWhenUsed/>
    <w:rsid w:val="00385224"/>
    <w:pPr>
      <w:tabs>
        <w:tab w:val="left" w:pos="400"/>
        <w:tab w:val="right" w:leader="dot" w:pos="9231"/>
      </w:tabs>
      <w:spacing w:before="120" w:after="120"/>
    </w:pPr>
    <w:rPr>
      <w:rFonts w:cstheme="minorHAnsi"/>
      <w:b/>
      <w:bCs/>
      <w:caps/>
      <w:noProof/>
      <w:color w:val="1F4E79" w:themeColor="accent5" w:themeShade="80"/>
      <w:sz w:val="22"/>
      <w:szCs w:val="22"/>
      <w:lang w:val="hr-HR"/>
    </w:rPr>
  </w:style>
  <w:style w:type="paragraph" w:styleId="TOC2">
    <w:name w:val="toc 2"/>
    <w:basedOn w:val="Normal"/>
    <w:next w:val="Normal"/>
    <w:autoRedefine/>
    <w:uiPriority w:val="39"/>
    <w:unhideWhenUsed/>
    <w:rsid w:val="00C32B1C"/>
    <w:pPr>
      <w:ind w:left="200"/>
    </w:pPr>
    <w:rPr>
      <w:rFonts w:asciiTheme="minorHAnsi" w:hAnsiTheme="minorHAnsi" w:cstheme="minorHAnsi"/>
      <w:smallCaps/>
      <w:szCs w:val="20"/>
    </w:rPr>
  </w:style>
  <w:style w:type="paragraph" w:styleId="TOC3">
    <w:name w:val="toc 3"/>
    <w:basedOn w:val="Normal"/>
    <w:next w:val="Normal"/>
    <w:autoRedefine/>
    <w:uiPriority w:val="39"/>
    <w:unhideWhenUsed/>
    <w:rsid w:val="00CE48EC"/>
    <w:pPr>
      <w:ind w:left="400"/>
    </w:pPr>
    <w:rPr>
      <w:rFonts w:asciiTheme="minorHAnsi" w:hAnsiTheme="minorHAnsi" w:cstheme="minorHAnsi"/>
      <w:i/>
      <w:iCs/>
      <w:szCs w:val="20"/>
    </w:rPr>
  </w:style>
  <w:style w:type="paragraph" w:styleId="TOC4">
    <w:name w:val="toc 4"/>
    <w:basedOn w:val="Normal"/>
    <w:next w:val="Normal"/>
    <w:autoRedefine/>
    <w:uiPriority w:val="39"/>
    <w:unhideWhenUsed/>
    <w:rsid w:val="00CE48EC"/>
    <w:pPr>
      <w:ind w:left="600"/>
    </w:pPr>
    <w:rPr>
      <w:rFonts w:asciiTheme="minorHAnsi" w:hAnsiTheme="minorHAnsi" w:cstheme="minorHAnsi"/>
      <w:sz w:val="18"/>
    </w:rPr>
  </w:style>
  <w:style w:type="paragraph" w:styleId="TOC5">
    <w:name w:val="toc 5"/>
    <w:basedOn w:val="Normal"/>
    <w:next w:val="Normal"/>
    <w:autoRedefine/>
    <w:uiPriority w:val="39"/>
    <w:unhideWhenUsed/>
    <w:rsid w:val="00CE48EC"/>
    <w:pPr>
      <w:ind w:left="800"/>
    </w:pPr>
    <w:rPr>
      <w:rFonts w:asciiTheme="minorHAnsi" w:hAnsiTheme="minorHAnsi" w:cstheme="minorHAnsi"/>
      <w:sz w:val="18"/>
    </w:rPr>
  </w:style>
  <w:style w:type="paragraph" w:styleId="TOC6">
    <w:name w:val="toc 6"/>
    <w:basedOn w:val="Normal"/>
    <w:next w:val="Normal"/>
    <w:autoRedefine/>
    <w:uiPriority w:val="39"/>
    <w:unhideWhenUsed/>
    <w:rsid w:val="00CE48EC"/>
    <w:pPr>
      <w:ind w:left="1000"/>
    </w:pPr>
    <w:rPr>
      <w:rFonts w:asciiTheme="minorHAnsi" w:hAnsiTheme="minorHAnsi" w:cstheme="minorHAnsi"/>
      <w:sz w:val="18"/>
    </w:rPr>
  </w:style>
  <w:style w:type="paragraph" w:styleId="TOC7">
    <w:name w:val="toc 7"/>
    <w:basedOn w:val="Normal"/>
    <w:next w:val="Normal"/>
    <w:autoRedefine/>
    <w:uiPriority w:val="39"/>
    <w:unhideWhenUsed/>
    <w:rsid w:val="00CE48EC"/>
    <w:pPr>
      <w:ind w:left="1200"/>
    </w:pPr>
    <w:rPr>
      <w:rFonts w:asciiTheme="minorHAnsi" w:hAnsiTheme="minorHAnsi" w:cstheme="minorHAnsi"/>
      <w:sz w:val="18"/>
    </w:rPr>
  </w:style>
  <w:style w:type="paragraph" w:styleId="TOC8">
    <w:name w:val="toc 8"/>
    <w:basedOn w:val="Normal"/>
    <w:next w:val="Normal"/>
    <w:autoRedefine/>
    <w:uiPriority w:val="39"/>
    <w:unhideWhenUsed/>
    <w:rsid w:val="00CE48EC"/>
    <w:pPr>
      <w:ind w:left="1400"/>
    </w:pPr>
    <w:rPr>
      <w:rFonts w:asciiTheme="minorHAnsi" w:hAnsiTheme="minorHAnsi" w:cstheme="minorHAnsi"/>
      <w:sz w:val="18"/>
    </w:rPr>
  </w:style>
  <w:style w:type="paragraph" w:styleId="TOC9">
    <w:name w:val="toc 9"/>
    <w:basedOn w:val="Normal"/>
    <w:next w:val="Normal"/>
    <w:autoRedefine/>
    <w:uiPriority w:val="39"/>
    <w:unhideWhenUsed/>
    <w:rsid w:val="00CE48EC"/>
    <w:pPr>
      <w:ind w:left="1600"/>
    </w:pPr>
    <w:rPr>
      <w:rFonts w:asciiTheme="minorHAnsi" w:hAnsiTheme="minorHAnsi" w:cstheme="minorHAnsi"/>
      <w:sz w:val="18"/>
    </w:rPr>
  </w:style>
  <w:style w:type="character" w:styleId="Hyperlink">
    <w:name w:val="Hyperlink"/>
    <w:basedOn w:val="DefaultParagraphFont"/>
    <w:uiPriority w:val="99"/>
    <w:unhideWhenUsed/>
    <w:rsid w:val="00CE48EC"/>
    <w:rPr>
      <w:color w:val="0563C1" w:themeColor="hyperlink"/>
      <w:u w:val="single"/>
    </w:rPr>
  </w:style>
  <w:style w:type="character" w:styleId="Emphasis">
    <w:name w:val="Emphasis"/>
    <w:basedOn w:val="DefaultParagraphFont"/>
    <w:uiPriority w:val="20"/>
    <w:qFormat/>
    <w:rsid w:val="000E3567"/>
    <w:rPr>
      <w:i/>
      <w:iCs/>
    </w:rPr>
  </w:style>
  <w:style w:type="character" w:styleId="CommentReference">
    <w:name w:val="annotation reference"/>
    <w:basedOn w:val="DefaultParagraphFont"/>
    <w:uiPriority w:val="99"/>
    <w:semiHidden/>
    <w:unhideWhenUsed/>
    <w:rsid w:val="004E3492"/>
    <w:rPr>
      <w:sz w:val="16"/>
      <w:szCs w:val="16"/>
    </w:rPr>
  </w:style>
  <w:style w:type="paragraph" w:styleId="CommentText">
    <w:name w:val="annotation text"/>
    <w:basedOn w:val="Normal"/>
    <w:link w:val="CommentTextChar"/>
    <w:uiPriority w:val="99"/>
    <w:semiHidden/>
    <w:unhideWhenUsed/>
    <w:rsid w:val="004E3492"/>
    <w:rPr>
      <w:szCs w:val="20"/>
    </w:rPr>
  </w:style>
  <w:style w:type="character" w:customStyle="1" w:styleId="CommentTextChar">
    <w:name w:val="Comment Text Char"/>
    <w:basedOn w:val="DefaultParagraphFont"/>
    <w:link w:val="CommentText"/>
    <w:uiPriority w:val="99"/>
    <w:semiHidden/>
    <w:rsid w:val="004E3492"/>
    <w:rPr>
      <w:szCs w:val="20"/>
      <w:lang w:val="en-GB"/>
    </w:rPr>
  </w:style>
  <w:style w:type="paragraph" w:styleId="CommentSubject">
    <w:name w:val="annotation subject"/>
    <w:basedOn w:val="CommentText"/>
    <w:next w:val="CommentText"/>
    <w:link w:val="CommentSubjectChar"/>
    <w:uiPriority w:val="99"/>
    <w:semiHidden/>
    <w:unhideWhenUsed/>
    <w:rsid w:val="004E3492"/>
    <w:rPr>
      <w:b/>
      <w:bCs/>
    </w:rPr>
  </w:style>
  <w:style w:type="character" w:customStyle="1" w:styleId="CommentSubjectChar">
    <w:name w:val="Comment Subject Char"/>
    <w:basedOn w:val="CommentTextChar"/>
    <w:link w:val="CommentSubject"/>
    <w:uiPriority w:val="99"/>
    <w:semiHidden/>
    <w:rsid w:val="004E3492"/>
    <w:rPr>
      <w:b/>
      <w:bCs/>
      <w:szCs w:val="20"/>
      <w:lang w:val="en-GB"/>
    </w:rPr>
  </w:style>
  <w:style w:type="character" w:customStyle="1" w:styleId="Nerazreenaomemba1">
    <w:name w:val="Nerazrešena omemba1"/>
    <w:basedOn w:val="DefaultParagraphFont"/>
    <w:uiPriority w:val="99"/>
    <w:semiHidden/>
    <w:unhideWhenUsed/>
    <w:rsid w:val="00CA1329"/>
    <w:rPr>
      <w:color w:val="605E5C"/>
      <w:shd w:val="clear" w:color="auto" w:fill="E1DFDD"/>
    </w:rPr>
  </w:style>
  <w:style w:type="character" w:styleId="Strong">
    <w:name w:val="Strong"/>
    <w:basedOn w:val="DefaultParagraphFont"/>
    <w:uiPriority w:val="22"/>
    <w:qFormat/>
    <w:rsid w:val="00394DCA"/>
    <w:rPr>
      <w:b/>
      <w:bCs/>
    </w:rPr>
  </w:style>
  <w:style w:type="table" w:customStyle="1" w:styleId="Navadnatabela21">
    <w:name w:val="Navadna tabela 21"/>
    <w:basedOn w:val="TableNormal"/>
    <w:uiPriority w:val="42"/>
    <w:rsid w:val="002E35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A612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3">
    <w:name w:val="Body Text 3"/>
    <w:basedOn w:val="Normal"/>
    <w:link w:val="BodyText3Char"/>
    <w:uiPriority w:val="99"/>
    <w:rsid w:val="008A2F99"/>
    <w:pPr>
      <w:jc w:val="both"/>
    </w:pPr>
    <w:rPr>
      <w:rFonts w:ascii="Times New Roman" w:eastAsia="Times New Roman" w:hAnsi="Times New Roman"/>
      <w:bCs/>
      <w:sz w:val="24"/>
      <w:szCs w:val="24"/>
      <w:lang w:val="sl-SI"/>
    </w:rPr>
  </w:style>
  <w:style w:type="character" w:customStyle="1" w:styleId="BodyText3Char">
    <w:name w:val="Body Text 3 Char"/>
    <w:basedOn w:val="DefaultParagraphFont"/>
    <w:link w:val="BodyText3"/>
    <w:uiPriority w:val="99"/>
    <w:rsid w:val="008A2F99"/>
    <w:rPr>
      <w:rFonts w:ascii="Times New Roman" w:eastAsia="Times New Roman" w:hAnsi="Times New Roman"/>
      <w:bCs/>
      <w:sz w:val="24"/>
      <w:szCs w:val="24"/>
    </w:rPr>
  </w:style>
  <w:style w:type="character" w:customStyle="1" w:styleId="Nerazreenaomemba2">
    <w:name w:val="Nerazrešena omemba2"/>
    <w:basedOn w:val="DefaultParagraphFont"/>
    <w:uiPriority w:val="99"/>
    <w:semiHidden/>
    <w:unhideWhenUsed/>
    <w:rsid w:val="008A1E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06956">
      <w:bodyDiv w:val="1"/>
      <w:marLeft w:val="0"/>
      <w:marRight w:val="0"/>
      <w:marTop w:val="0"/>
      <w:marBottom w:val="0"/>
      <w:divBdr>
        <w:top w:val="none" w:sz="0" w:space="0" w:color="auto"/>
        <w:left w:val="none" w:sz="0" w:space="0" w:color="auto"/>
        <w:bottom w:val="none" w:sz="0" w:space="0" w:color="auto"/>
        <w:right w:val="none" w:sz="0" w:space="0" w:color="auto"/>
      </w:divBdr>
    </w:div>
    <w:div w:id="16974124">
      <w:bodyDiv w:val="1"/>
      <w:marLeft w:val="0"/>
      <w:marRight w:val="0"/>
      <w:marTop w:val="0"/>
      <w:marBottom w:val="0"/>
      <w:divBdr>
        <w:top w:val="none" w:sz="0" w:space="0" w:color="auto"/>
        <w:left w:val="none" w:sz="0" w:space="0" w:color="auto"/>
        <w:bottom w:val="none" w:sz="0" w:space="0" w:color="auto"/>
        <w:right w:val="none" w:sz="0" w:space="0" w:color="auto"/>
      </w:divBdr>
    </w:div>
    <w:div w:id="20589296">
      <w:bodyDiv w:val="1"/>
      <w:marLeft w:val="0"/>
      <w:marRight w:val="0"/>
      <w:marTop w:val="0"/>
      <w:marBottom w:val="0"/>
      <w:divBdr>
        <w:top w:val="none" w:sz="0" w:space="0" w:color="auto"/>
        <w:left w:val="none" w:sz="0" w:space="0" w:color="auto"/>
        <w:bottom w:val="none" w:sz="0" w:space="0" w:color="auto"/>
        <w:right w:val="none" w:sz="0" w:space="0" w:color="auto"/>
      </w:divBdr>
    </w:div>
    <w:div w:id="25102355">
      <w:bodyDiv w:val="1"/>
      <w:marLeft w:val="0"/>
      <w:marRight w:val="0"/>
      <w:marTop w:val="0"/>
      <w:marBottom w:val="0"/>
      <w:divBdr>
        <w:top w:val="none" w:sz="0" w:space="0" w:color="auto"/>
        <w:left w:val="none" w:sz="0" w:space="0" w:color="auto"/>
        <w:bottom w:val="none" w:sz="0" w:space="0" w:color="auto"/>
        <w:right w:val="none" w:sz="0" w:space="0" w:color="auto"/>
      </w:divBdr>
    </w:div>
    <w:div w:id="25982457">
      <w:bodyDiv w:val="1"/>
      <w:marLeft w:val="0"/>
      <w:marRight w:val="0"/>
      <w:marTop w:val="0"/>
      <w:marBottom w:val="0"/>
      <w:divBdr>
        <w:top w:val="none" w:sz="0" w:space="0" w:color="auto"/>
        <w:left w:val="none" w:sz="0" w:space="0" w:color="auto"/>
        <w:bottom w:val="none" w:sz="0" w:space="0" w:color="auto"/>
        <w:right w:val="none" w:sz="0" w:space="0" w:color="auto"/>
      </w:divBdr>
    </w:div>
    <w:div w:id="31806679">
      <w:bodyDiv w:val="1"/>
      <w:marLeft w:val="0"/>
      <w:marRight w:val="0"/>
      <w:marTop w:val="0"/>
      <w:marBottom w:val="0"/>
      <w:divBdr>
        <w:top w:val="none" w:sz="0" w:space="0" w:color="auto"/>
        <w:left w:val="none" w:sz="0" w:space="0" w:color="auto"/>
        <w:bottom w:val="none" w:sz="0" w:space="0" w:color="auto"/>
        <w:right w:val="none" w:sz="0" w:space="0" w:color="auto"/>
      </w:divBdr>
    </w:div>
    <w:div w:id="47268824">
      <w:bodyDiv w:val="1"/>
      <w:marLeft w:val="0"/>
      <w:marRight w:val="0"/>
      <w:marTop w:val="0"/>
      <w:marBottom w:val="0"/>
      <w:divBdr>
        <w:top w:val="none" w:sz="0" w:space="0" w:color="auto"/>
        <w:left w:val="none" w:sz="0" w:space="0" w:color="auto"/>
        <w:bottom w:val="none" w:sz="0" w:space="0" w:color="auto"/>
        <w:right w:val="none" w:sz="0" w:space="0" w:color="auto"/>
      </w:divBdr>
    </w:div>
    <w:div w:id="70856680">
      <w:bodyDiv w:val="1"/>
      <w:marLeft w:val="0"/>
      <w:marRight w:val="0"/>
      <w:marTop w:val="0"/>
      <w:marBottom w:val="0"/>
      <w:divBdr>
        <w:top w:val="none" w:sz="0" w:space="0" w:color="auto"/>
        <w:left w:val="none" w:sz="0" w:space="0" w:color="auto"/>
        <w:bottom w:val="none" w:sz="0" w:space="0" w:color="auto"/>
        <w:right w:val="none" w:sz="0" w:space="0" w:color="auto"/>
      </w:divBdr>
    </w:div>
    <w:div w:id="108089585">
      <w:bodyDiv w:val="1"/>
      <w:marLeft w:val="0"/>
      <w:marRight w:val="0"/>
      <w:marTop w:val="0"/>
      <w:marBottom w:val="0"/>
      <w:divBdr>
        <w:top w:val="none" w:sz="0" w:space="0" w:color="auto"/>
        <w:left w:val="none" w:sz="0" w:space="0" w:color="auto"/>
        <w:bottom w:val="none" w:sz="0" w:space="0" w:color="auto"/>
        <w:right w:val="none" w:sz="0" w:space="0" w:color="auto"/>
      </w:divBdr>
    </w:div>
    <w:div w:id="112797870">
      <w:bodyDiv w:val="1"/>
      <w:marLeft w:val="0"/>
      <w:marRight w:val="0"/>
      <w:marTop w:val="0"/>
      <w:marBottom w:val="0"/>
      <w:divBdr>
        <w:top w:val="none" w:sz="0" w:space="0" w:color="auto"/>
        <w:left w:val="none" w:sz="0" w:space="0" w:color="auto"/>
        <w:bottom w:val="none" w:sz="0" w:space="0" w:color="auto"/>
        <w:right w:val="none" w:sz="0" w:space="0" w:color="auto"/>
      </w:divBdr>
    </w:div>
    <w:div w:id="113911706">
      <w:bodyDiv w:val="1"/>
      <w:marLeft w:val="0"/>
      <w:marRight w:val="0"/>
      <w:marTop w:val="0"/>
      <w:marBottom w:val="0"/>
      <w:divBdr>
        <w:top w:val="none" w:sz="0" w:space="0" w:color="auto"/>
        <w:left w:val="none" w:sz="0" w:space="0" w:color="auto"/>
        <w:bottom w:val="none" w:sz="0" w:space="0" w:color="auto"/>
        <w:right w:val="none" w:sz="0" w:space="0" w:color="auto"/>
      </w:divBdr>
    </w:div>
    <w:div w:id="121920530">
      <w:bodyDiv w:val="1"/>
      <w:marLeft w:val="0"/>
      <w:marRight w:val="0"/>
      <w:marTop w:val="0"/>
      <w:marBottom w:val="0"/>
      <w:divBdr>
        <w:top w:val="none" w:sz="0" w:space="0" w:color="auto"/>
        <w:left w:val="none" w:sz="0" w:space="0" w:color="auto"/>
        <w:bottom w:val="none" w:sz="0" w:space="0" w:color="auto"/>
        <w:right w:val="none" w:sz="0" w:space="0" w:color="auto"/>
      </w:divBdr>
    </w:div>
    <w:div w:id="128328793">
      <w:bodyDiv w:val="1"/>
      <w:marLeft w:val="0"/>
      <w:marRight w:val="0"/>
      <w:marTop w:val="0"/>
      <w:marBottom w:val="0"/>
      <w:divBdr>
        <w:top w:val="none" w:sz="0" w:space="0" w:color="auto"/>
        <w:left w:val="none" w:sz="0" w:space="0" w:color="auto"/>
        <w:bottom w:val="none" w:sz="0" w:space="0" w:color="auto"/>
        <w:right w:val="none" w:sz="0" w:space="0" w:color="auto"/>
      </w:divBdr>
    </w:div>
    <w:div w:id="149450294">
      <w:bodyDiv w:val="1"/>
      <w:marLeft w:val="0"/>
      <w:marRight w:val="0"/>
      <w:marTop w:val="0"/>
      <w:marBottom w:val="0"/>
      <w:divBdr>
        <w:top w:val="none" w:sz="0" w:space="0" w:color="auto"/>
        <w:left w:val="none" w:sz="0" w:space="0" w:color="auto"/>
        <w:bottom w:val="none" w:sz="0" w:space="0" w:color="auto"/>
        <w:right w:val="none" w:sz="0" w:space="0" w:color="auto"/>
      </w:divBdr>
    </w:div>
    <w:div w:id="156195113">
      <w:bodyDiv w:val="1"/>
      <w:marLeft w:val="0"/>
      <w:marRight w:val="0"/>
      <w:marTop w:val="0"/>
      <w:marBottom w:val="0"/>
      <w:divBdr>
        <w:top w:val="none" w:sz="0" w:space="0" w:color="auto"/>
        <w:left w:val="none" w:sz="0" w:space="0" w:color="auto"/>
        <w:bottom w:val="none" w:sz="0" w:space="0" w:color="auto"/>
        <w:right w:val="none" w:sz="0" w:space="0" w:color="auto"/>
      </w:divBdr>
    </w:div>
    <w:div w:id="171649336">
      <w:bodyDiv w:val="1"/>
      <w:marLeft w:val="0"/>
      <w:marRight w:val="0"/>
      <w:marTop w:val="0"/>
      <w:marBottom w:val="0"/>
      <w:divBdr>
        <w:top w:val="none" w:sz="0" w:space="0" w:color="auto"/>
        <w:left w:val="none" w:sz="0" w:space="0" w:color="auto"/>
        <w:bottom w:val="none" w:sz="0" w:space="0" w:color="auto"/>
        <w:right w:val="none" w:sz="0" w:space="0" w:color="auto"/>
      </w:divBdr>
    </w:div>
    <w:div w:id="186673920">
      <w:bodyDiv w:val="1"/>
      <w:marLeft w:val="0"/>
      <w:marRight w:val="0"/>
      <w:marTop w:val="0"/>
      <w:marBottom w:val="0"/>
      <w:divBdr>
        <w:top w:val="none" w:sz="0" w:space="0" w:color="auto"/>
        <w:left w:val="none" w:sz="0" w:space="0" w:color="auto"/>
        <w:bottom w:val="none" w:sz="0" w:space="0" w:color="auto"/>
        <w:right w:val="none" w:sz="0" w:space="0" w:color="auto"/>
      </w:divBdr>
    </w:div>
    <w:div w:id="193271996">
      <w:bodyDiv w:val="1"/>
      <w:marLeft w:val="0"/>
      <w:marRight w:val="0"/>
      <w:marTop w:val="0"/>
      <w:marBottom w:val="0"/>
      <w:divBdr>
        <w:top w:val="none" w:sz="0" w:space="0" w:color="auto"/>
        <w:left w:val="none" w:sz="0" w:space="0" w:color="auto"/>
        <w:bottom w:val="none" w:sz="0" w:space="0" w:color="auto"/>
        <w:right w:val="none" w:sz="0" w:space="0" w:color="auto"/>
      </w:divBdr>
    </w:div>
    <w:div w:id="206064200">
      <w:bodyDiv w:val="1"/>
      <w:marLeft w:val="0"/>
      <w:marRight w:val="0"/>
      <w:marTop w:val="0"/>
      <w:marBottom w:val="0"/>
      <w:divBdr>
        <w:top w:val="none" w:sz="0" w:space="0" w:color="auto"/>
        <w:left w:val="none" w:sz="0" w:space="0" w:color="auto"/>
        <w:bottom w:val="none" w:sz="0" w:space="0" w:color="auto"/>
        <w:right w:val="none" w:sz="0" w:space="0" w:color="auto"/>
      </w:divBdr>
    </w:div>
    <w:div w:id="234629569">
      <w:bodyDiv w:val="1"/>
      <w:marLeft w:val="0"/>
      <w:marRight w:val="0"/>
      <w:marTop w:val="0"/>
      <w:marBottom w:val="0"/>
      <w:divBdr>
        <w:top w:val="none" w:sz="0" w:space="0" w:color="auto"/>
        <w:left w:val="none" w:sz="0" w:space="0" w:color="auto"/>
        <w:bottom w:val="none" w:sz="0" w:space="0" w:color="auto"/>
        <w:right w:val="none" w:sz="0" w:space="0" w:color="auto"/>
      </w:divBdr>
    </w:div>
    <w:div w:id="269514756">
      <w:bodyDiv w:val="1"/>
      <w:marLeft w:val="0"/>
      <w:marRight w:val="0"/>
      <w:marTop w:val="0"/>
      <w:marBottom w:val="0"/>
      <w:divBdr>
        <w:top w:val="none" w:sz="0" w:space="0" w:color="auto"/>
        <w:left w:val="none" w:sz="0" w:space="0" w:color="auto"/>
        <w:bottom w:val="none" w:sz="0" w:space="0" w:color="auto"/>
        <w:right w:val="none" w:sz="0" w:space="0" w:color="auto"/>
      </w:divBdr>
    </w:div>
    <w:div w:id="289358777">
      <w:bodyDiv w:val="1"/>
      <w:marLeft w:val="0"/>
      <w:marRight w:val="0"/>
      <w:marTop w:val="0"/>
      <w:marBottom w:val="0"/>
      <w:divBdr>
        <w:top w:val="none" w:sz="0" w:space="0" w:color="auto"/>
        <w:left w:val="none" w:sz="0" w:space="0" w:color="auto"/>
        <w:bottom w:val="none" w:sz="0" w:space="0" w:color="auto"/>
        <w:right w:val="none" w:sz="0" w:space="0" w:color="auto"/>
      </w:divBdr>
    </w:div>
    <w:div w:id="295988001">
      <w:bodyDiv w:val="1"/>
      <w:marLeft w:val="0"/>
      <w:marRight w:val="0"/>
      <w:marTop w:val="0"/>
      <w:marBottom w:val="0"/>
      <w:divBdr>
        <w:top w:val="none" w:sz="0" w:space="0" w:color="auto"/>
        <w:left w:val="none" w:sz="0" w:space="0" w:color="auto"/>
        <w:bottom w:val="none" w:sz="0" w:space="0" w:color="auto"/>
        <w:right w:val="none" w:sz="0" w:space="0" w:color="auto"/>
      </w:divBdr>
    </w:div>
    <w:div w:id="307590542">
      <w:bodyDiv w:val="1"/>
      <w:marLeft w:val="0"/>
      <w:marRight w:val="0"/>
      <w:marTop w:val="0"/>
      <w:marBottom w:val="0"/>
      <w:divBdr>
        <w:top w:val="none" w:sz="0" w:space="0" w:color="auto"/>
        <w:left w:val="none" w:sz="0" w:space="0" w:color="auto"/>
        <w:bottom w:val="none" w:sz="0" w:space="0" w:color="auto"/>
        <w:right w:val="none" w:sz="0" w:space="0" w:color="auto"/>
      </w:divBdr>
    </w:div>
    <w:div w:id="318968374">
      <w:bodyDiv w:val="1"/>
      <w:marLeft w:val="0"/>
      <w:marRight w:val="0"/>
      <w:marTop w:val="0"/>
      <w:marBottom w:val="0"/>
      <w:divBdr>
        <w:top w:val="none" w:sz="0" w:space="0" w:color="auto"/>
        <w:left w:val="none" w:sz="0" w:space="0" w:color="auto"/>
        <w:bottom w:val="none" w:sz="0" w:space="0" w:color="auto"/>
        <w:right w:val="none" w:sz="0" w:space="0" w:color="auto"/>
      </w:divBdr>
    </w:div>
    <w:div w:id="354884486">
      <w:bodyDiv w:val="1"/>
      <w:marLeft w:val="0"/>
      <w:marRight w:val="0"/>
      <w:marTop w:val="0"/>
      <w:marBottom w:val="0"/>
      <w:divBdr>
        <w:top w:val="none" w:sz="0" w:space="0" w:color="auto"/>
        <w:left w:val="none" w:sz="0" w:space="0" w:color="auto"/>
        <w:bottom w:val="none" w:sz="0" w:space="0" w:color="auto"/>
        <w:right w:val="none" w:sz="0" w:space="0" w:color="auto"/>
      </w:divBdr>
    </w:div>
    <w:div w:id="375550459">
      <w:bodyDiv w:val="1"/>
      <w:marLeft w:val="0"/>
      <w:marRight w:val="0"/>
      <w:marTop w:val="0"/>
      <w:marBottom w:val="0"/>
      <w:divBdr>
        <w:top w:val="none" w:sz="0" w:space="0" w:color="auto"/>
        <w:left w:val="none" w:sz="0" w:space="0" w:color="auto"/>
        <w:bottom w:val="none" w:sz="0" w:space="0" w:color="auto"/>
        <w:right w:val="none" w:sz="0" w:space="0" w:color="auto"/>
      </w:divBdr>
    </w:div>
    <w:div w:id="389421311">
      <w:bodyDiv w:val="1"/>
      <w:marLeft w:val="0"/>
      <w:marRight w:val="0"/>
      <w:marTop w:val="0"/>
      <w:marBottom w:val="0"/>
      <w:divBdr>
        <w:top w:val="none" w:sz="0" w:space="0" w:color="auto"/>
        <w:left w:val="none" w:sz="0" w:space="0" w:color="auto"/>
        <w:bottom w:val="none" w:sz="0" w:space="0" w:color="auto"/>
        <w:right w:val="none" w:sz="0" w:space="0" w:color="auto"/>
      </w:divBdr>
    </w:div>
    <w:div w:id="392196168">
      <w:bodyDiv w:val="1"/>
      <w:marLeft w:val="0"/>
      <w:marRight w:val="0"/>
      <w:marTop w:val="0"/>
      <w:marBottom w:val="0"/>
      <w:divBdr>
        <w:top w:val="none" w:sz="0" w:space="0" w:color="auto"/>
        <w:left w:val="none" w:sz="0" w:space="0" w:color="auto"/>
        <w:bottom w:val="none" w:sz="0" w:space="0" w:color="auto"/>
        <w:right w:val="none" w:sz="0" w:space="0" w:color="auto"/>
      </w:divBdr>
    </w:div>
    <w:div w:id="421489737">
      <w:bodyDiv w:val="1"/>
      <w:marLeft w:val="0"/>
      <w:marRight w:val="0"/>
      <w:marTop w:val="0"/>
      <w:marBottom w:val="0"/>
      <w:divBdr>
        <w:top w:val="none" w:sz="0" w:space="0" w:color="auto"/>
        <w:left w:val="none" w:sz="0" w:space="0" w:color="auto"/>
        <w:bottom w:val="none" w:sz="0" w:space="0" w:color="auto"/>
        <w:right w:val="none" w:sz="0" w:space="0" w:color="auto"/>
      </w:divBdr>
    </w:div>
    <w:div w:id="425611954">
      <w:bodyDiv w:val="1"/>
      <w:marLeft w:val="0"/>
      <w:marRight w:val="0"/>
      <w:marTop w:val="0"/>
      <w:marBottom w:val="0"/>
      <w:divBdr>
        <w:top w:val="none" w:sz="0" w:space="0" w:color="auto"/>
        <w:left w:val="none" w:sz="0" w:space="0" w:color="auto"/>
        <w:bottom w:val="none" w:sz="0" w:space="0" w:color="auto"/>
        <w:right w:val="none" w:sz="0" w:space="0" w:color="auto"/>
      </w:divBdr>
    </w:div>
    <w:div w:id="443960668">
      <w:bodyDiv w:val="1"/>
      <w:marLeft w:val="0"/>
      <w:marRight w:val="0"/>
      <w:marTop w:val="0"/>
      <w:marBottom w:val="0"/>
      <w:divBdr>
        <w:top w:val="none" w:sz="0" w:space="0" w:color="auto"/>
        <w:left w:val="none" w:sz="0" w:space="0" w:color="auto"/>
        <w:bottom w:val="none" w:sz="0" w:space="0" w:color="auto"/>
        <w:right w:val="none" w:sz="0" w:space="0" w:color="auto"/>
      </w:divBdr>
    </w:div>
    <w:div w:id="461655927">
      <w:bodyDiv w:val="1"/>
      <w:marLeft w:val="0"/>
      <w:marRight w:val="0"/>
      <w:marTop w:val="0"/>
      <w:marBottom w:val="0"/>
      <w:divBdr>
        <w:top w:val="none" w:sz="0" w:space="0" w:color="auto"/>
        <w:left w:val="none" w:sz="0" w:space="0" w:color="auto"/>
        <w:bottom w:val="none" w:sz="0" w:space="0" w:color="auto"/>
        <w:right w:val="none" w:sz="0" w:space="0" w:color="auto"/>
      </w:divBdr>
    </w:div>
    <w:div w:id="467433066">
      <w:bodyDiv w:val="1"/>
      <w:marLeft w:val="0"/>
      <w:marRight w:val="0"/>
      <w:marTop w:val="0"/>
      <w:marBottom w:val="0"/>
      <w:divBdr>
        <w:top w:val="none" w:sz="0" w:space="0" w:color="auto"/>
        <w:left w:val="none" w:sz="0" w:space="0" w:color="auto"/>
        <w:bottom w:val="none" w:sz="0" w:space="0" w:color="auto"/>
        <w:right w:val="none" w:sz="0" w:space="0" w:color="auto"/>
      </w:divBdr>
    </w:div>
    <w:div w:id="469253303">
      <w:bodyDiv w:val="1"/>
      <w:marLeft w:val="0"/>
      <w:marRight w:val="0"/>
      <w:marTop w:val="0"/>
      <w:marBottom w:val="0"/>
      <w:divBdr>
        <w:top w:val="none" w:sz="0" w:space="0" w:color="auto"/>
        <w:left w:val="none" w:sz="0" w:space="0" w:color="auto"/>
        <w:bottom w:val="none" w:sz="0" w:space="0" w:color="auto"/>
        <w:right w:val="none" w:sz="0" w:space="0" w:color="auto"/>
      </w:divBdr>
    </w:div>
    <w:div w:id="484247533">
      <w:bodyDiv w:val="1"/>
      <w:marLeft w:val="0"/>
      <w:marRight w:val="0"/>
      <w:marTop w:val="0"/>
      <w:marBottom w:val="0"/>
      <w:divBdr>
        <w:top w:val="none" w:sz="0" w:space="0" w:color="auto"/>
        <w:left w:val="none" w:sz="0" w:space="0" w:color="auto"/>
        <w:bottom w:val="none" w:sz="0" w:space="0" w:color="auto"/>
        <w:right w:val="none" w:sz="0" w:space="0" w:color="auto"/>
      </w:divBdr>
    </w:div>
    <w:div w:id="487210140">
      <w:bodyDiv w:val="1"/>
      <w:marLeft w:val="0"/>
      <w:marRight w:val="0"/>
      <w:marTop w:val="0"/>
      <w:marBottom w:val="0"/>
      <w:divBdr>
        <w:top w:val="none" w:sz="0" w:space="0" w:color="auto"/>
        <w:left w:val="none" w:sz="0" w:space="0" w:color="auto"/>
        <w:bottom w:val="none" w:sz="0" w:space="0" w:color="auto"/>
        <w:right w:val="none" w:sz="0" w:space="0" w:color="auto"/>
      </w:divBdr>
    </w:div>
    <w:div w:id="506091709">
      <w:bodyDiv w:val="1"/>
      <w:marLeft w:val="0"/>
      <w:marRight w:val="0"/>
      <w:marTop w:val="0"/>
      <w:marBottom w:val="0"/>
      <w:divBdr>
        <w:top w:val="none" w:sz="0" w:space="0" w:color="auto"/>
        <w:left w:val="none" w:sz="0" w:space="0" w:color="auto"/>
        <w:bottom w:val="none" w:sz="0" w:space="0" w:color="auto"/>
        <w:right w:val="none" w:sz="0" w:space="0" w:color="auto"/>
      </w:divBdr>
    </w:div>
    <w:div w:id="510486235">
      <w:bodyDiv w:val="1"/>
      <w:marLeft w:val="0"/>
      <w:marRight w:val="0"/>
      <w:marTop w:val="0"/>
      <w:marBottom w:val="0"/>
      <w:divBdr>
        <w:top w:val="none" w:sz="0" w:space="0" w:color="auto"/>
        <w:left w:val="none" w:sz="0" w:space="0" w:color="auto"/>
        <w:bottom w:val="none" w:sz="0" w:space="0" w:color="auto"/>
        <w:right w:val="none" w:sz="0" w:space="0" w:color="auto"/>
      </w:divBdr>
    </w:div>
    <w:div w:id="546721373">
      <w:bodyDiv w:val="1"/>
      <w:marLeft w:val="0"/>
      <w:marRight w:val="0"/>
      <w:marTop w:val="0"/>
      <w:marBottom w:val="0"/>
      <w:divBdr>
        <w:top w:val="none" w:sz="0" w:space="0" w:color="auto"/>
        <w:left w:val="none" w:sz="0" w:space="0" w:color="auto"/>
        <w:bottom w:val="none" w:sz="0" w:space="0" w:color="auto"/>
        <w:right w:val="none" w:sz="0" w:space="0" w:color="auto"/>
      </w:divBdr>
    </w:div>
    <w:div w:id="546912440">
      <w:bodyDiv w:val="1"/>
      <w:marLeft w:val="0"/>
      <w:marRight w:val="0"/>
      <w:marTop w:val="0"/>
      <w:marBottom w:val="0"/>
      <w:divBdr>
        <w:top w:val="none" w:sz="0" w:space="0" w:color="auto"/>
        <w:left w:val="none" w:sz="0" w:space="0" w:color="auto"/>
        <w:bottom w:val="none" w:sz="0" w:space="0" w:color="auto"/>
        <w:right w:val="none" w:sz="0" w:space="0" w:color="auto"/>
      </w:divBdr>
    </w:div>
    <w:div w:id="550270671">
      <w:bodyDiv w:val="1"/>
      <w:marLeft w:val="0"/>
      <w:marRight w:val="0"/>
      <w:marTop w:val="0"/>
      <w:marBottom w:val="0"/>
      <w:divBdr>
        <w:top w:val="none" w:sz="0" w:space="0" w:color="auto"/>
        <w:left w:val="none" w:sz="0" w:space="0" w:color="auto"/>
        <w:bottom w:val="none" w:sz="0" w:space="0" w:color="auto"/>
        <w:right w:val="none" w:sz="0" w:space="0" w:color="auto"/>
      </w:divBdr>
    </w:div>
    <w:div w:id="573665694">
      <w:bodyDiv w:val="1"/>
      <w:marLeft w:val="0"/>
      <w:marRight w:val="0"/>
      <w:marTop w:val="0"/>
      <w:marBottom w:val="0"/>
      <w:divBdr>
        <w:top w:val="none" w:sz="0" w:space="0" w:color="auto"/>
        <w:left w:val="none" w:sz="0" w:space="0" w:color="auto"/>
        <w:bottom w:val="none" w:sz="0" w:space="0" w:color="auto"/>
        <w:right w:val="none" w:sz="0" w:space="0" w:color="auto"/>
      </w:divBdr>
    </w:div>
    <w:div w:id="602227215">
      <w:bodyDiv w:val="1"/>
      <w:marLeft w:val="0"/>
      <w:marRight w:val="0"/>
      <w:marTop w:val="0"/>
      <w:marBottom w:val="0"/>
      <w:divBdr>
        <w:top w:val="none" w:sz="0" w:space="0" w:color="auto"/>
        <w:left w:val="none" w:sz="0" w:space="0" w:color="auto"/>
        <w:bottom w:val="none" w:sz="0" w:space="0" w:color="auto"/>
        <w:right w:val="none" w:sz="0" w:space="0" w:color="auto"/>
      </w:divBdr>
    </w:div>
    <w:div w:id="629287053">
      <w:bodyDiv w:val="1"/>
      <w:marLeft w:val="0"/>
      <w:marRight w:val="0"/>
      <w:marTop w:val="0"/>
      <w:marBottom w:val="0"/>
      <w:divBdr>
        <w:top w:val="none" w:sz="0" w:space="0" w:color="auto"/>
        <w:left w:val="none" w:sz="0" w:space="0" w:color="auto"/>
        <w:bottom w:val="none" w:sz="0" w:space="0" w:color="auto"/>
        <w:right w:val="none" w:sz="0" w:space="0" w:color="auto"/>
      </w:divBdr>
    </w:div>
    <w:div w:id="674453368">
      <w:bodyDiv w:val="1"/>
      <w:marLeft w:val="0"/>
      <w:marRight w:val="0"/>
      <w:marTop w:val="0"/>
      <w:marBottom w:val="0"/>
      <w:divBdr>
        <w:top w:val="none" w:sz="0" w:space="0" w:color="auto"/>
        <w:left w:val="none" w:sz="0" w:space="0" w:color="auto"/>
        <w:bottom w:val="none" w:sz="0" w:space="0" w:color="auto"/>
        <w:right w:val="none" w:sz="0" w:space="0" w:color="auto"/>
      </w:divBdr>
    </w:div>
    <w:div w:id="674846357">
      <w:bodyDiv w:val="1"/>
      <w:marLeft w:val="0"/>
      <w:marRight w:val="0"/>
      <w:marTop w:val="0"/>
      <w:marBottom w:val="0"/>
      <w:divBdr>
        <w:top w:val="none" w:sz="0" w:space="0" w:color="auto"/>
        <w:left w:val="none" w:sz="0" w:space="0" w:color="auto"/>
        <w:bottom w:val="none" w:sz="0" w:space="0" w:color="auto"/>
        <w:right w:val="none" w:sz="0" w:space="0" w:color="auto"/>
      </w:divBdr>
    </w:div>
    <w:div w:id="683556408">
      <w:bodyDiv w:val="1"/>
      <w:marLeft w:val="0"/>
      <w:marRight w:val="0"/>
      <w:marTop w:val="0"/>
      <w:marBottom w:val="0"/>
      <w:divBdr>
        <w:top w:val="none" w:sz="0" w:space="0" w:color="auto"/>
        <w:left w:val="none" w:sz="0" w:space="0" w:color="auto"/>
        <w:bottom w:val="none" w:sz="0" w:space="0" w:color="auto"/>
        <w:right w:val="none" w:sz="0" w:space="0" w:color="auto"/>
      </w:divBdr>
    </w:div>
    <w:div w:id="735052371">
      <w:bodyDiv w:val="1"/>
      <w:marLeft w:val="0"/>
      <w:marRight w:val="0"/>
      <w:marTop w:val="0"/>
      <w:marBottom w:val="0"/>
      <w:divBdr>
        <w:top w:val="none" w:sz="0" w:space="0" w:color="auto"/>
        <w:left w:val="none" w:sz="0" w:space="0" w:color="auto"/>
        <w:bottom w:val="none" w:sz="0" w:space="0" w:color="auto"/>
        <w:right w:val="none" w:sz="0" w:space="0" w:color="auto"/>
      </w:divBdr>
    </w:div>
    <w:div w:id="738329721">
      <w:bodyDiv w:val="1"/>
      <w:marLeft w:val="0"/>
      <w:marRight w:val="0"/>
      <w:marTop w:val="0"/>
      <w:marBottom w:val="0"/>
      <w:divBdr>
        <w:top w:val="none" w:sz="0" w:space="0" w:color="auto"/>
        <w:left w:val="none" w:sz="0" w:space="0" w:color="auto"/>
        <w:bottom w:val="none" w:sz="0" w:space="0" w:color="auto"/>
        <w:right w:val="none" w:sz="0" w:space="0" w:color="auto"/>
      </w:divBdr>
    </w:div>
    <w:div w:id="743375275">
      <w:bodyDiv w:val="1"/>
      <w:marLeft w:val="0"/>
      <w:marRight w:val="0"/>
      <w:marTop w:val="0"/>
      <w:marBottom w:val="0"/>
      <w:divBdr>
        <w:top w:val="none" w:sz="0" w:space="0" w:color="auto"/>
        <w:left w:val="none" w:sz="0" w:space="0" w:color="auto"/>
        <w:bottom w:val="none" w:sz="0" w:space="0" w:color="auto"/>
        <w:right w:val="none" w:sz="0" w:space="0" w:color="auto"/>
      </w:divBdr>
      <w:divsChild>
        <w:div w:id="663439713">
          <w:marLeft w:val="547"/>
          <w:marRight w:val="0"/>
          <w:marTop w:val="0"/>
          <w:marBottom w:val="0"/>
          <w:divBdr>
            <w:top w:val="none" w:sz="0" w:space="0" w:color="auto"/>
            <w:left w:val="none" w:sz="0" w:space="0" w:color="auto"/>
            <w:bottom w:val="none" w:sz="0" w:space="0" w:color="auto"/>
            <w:right w:val="none" w:sz="0" w:space="0" w:color="auto"/>
          </w:divBdr>
        </w:div>
      </w:divsChild>
    </w:div>
    <w:div w:id="758986680">
      <w:bodyDiv w:val="1"/>
      <w:marLeft w:val="0"/>
      <w:marRight w:val="0"/>
      <w:marTop w:val="0"/>
      <w:marBottom w:val="0"/>
      <w:divBdr>
        <w:top w:val="none" w:sz="0" w:space="0" w:color="auto"/>
        <w:left w:val="none" w:sz="0" w:space="0" w:color="auto"/>
        <w:bottom w:val="none" w:sz="0" w:space="0" w:color="auto"/>
        <w:right w:val="none" w:sz="0" w:space="0" w:color="auto"/>
      </w:divBdr>
    </w:div>
    <w:div w:id="765228806">
      <w:bodyDiv w:val="1"/>
      <w:marLeft w:val="0"/>
      <w:marRight w:val="0"/>
      <w:marTop w:val="0"/>
      <w:marBottom w:val="0"/>
      <w:divBdr>
        <w:top w:val="none" w:sz="0" w:space="0" w:color="auto"/>
        <w:left w:val="none" w:sz="0" w:space="0" w:color="auto"/>
        <w:bottom w:val="none" w:sz="0" w:space="0" w:color="auto"/>
        <w:right w:val="none" w:sz="0" w:space="0" w:color="auto"/>
      </w:divBdr>
    </w:div>
    <w:div w:id="765878915">
      <w:bodyDiv w:val="1"/>
      <w:marLeft w:val="0"/>
      <w:marRight w:val="0"/>
      <w:marTop w:val="0"/>
      <w:marBottom w:val="0"/>
      <w:divBdr>
        <w:top w:val="none" w:sz="0" w:space="0" w:color="auto"/>
        <w:left w:val="none" w:sz="0" w:space="0" w:color="auto"/>
        <w:bottom w:val="none" w:sz="0" w:space="0" w:color="auto"/>
        <w:right w:val="none" w:sz="0" w:space="0" w:color="auto"/>
      </w:divBdr>
    </w:div>
    <w:div w:id="777336499">
      <w:bodyDiv w:val="1"/>
      <w:marLeft w:val="0"/>
      <w:marRight w:val="0"/>
      <w:marTop w:val="0"/>
      <w:marBottom w:val="0"/>
      <w:divBdr>
        <w:top w:val="none" w:sz="0" w:space="0" w:color="auto"/>
        <w:left w:val="none" w:sz="0" w:space="0" w:color="auto"/>
        <w:bottom w:val="none" w:sz="0" w:space="0" w:color="auto"/>
        <w:right w:val="none" w:sz="0" w:space="0" w:color="auto"/>
      </w:divBdr>
    </w:div>
    <w:div w:id="778792470">
      <w:bodyDiv w:val="1"/>
      <w:marLeft w:val="0"/>
      <w:marRight w:val="0"/>
      <w:marTop w:val="0"/>
      <w:marBottom w:val="0"/>
      <w:divBdr>
        <w:top w:val="none" w:sz="0" w:space="0" w:color="auto"/>
        <w:left w:val="none" w:sz="0" w:space="0" w:color="auto"/>
        <w:bottom w:val="none" w:sz="0" w:space="0" w:color="auto"/>
        <w:right w:val="none" w:sz="0" w:space="0" w:color="auto"/>
      </w:divBdr>
    </w:div>
    <w:div w:id="797063651">
      <w:bodyDiv w:val="1"/>
      <w:marLeft w:val="0"/>
      <w:marRight w:val="0"/>
      <w:marTop w:val="0"/>
      <w:marBottom w:val="0"/>
      <w:divBdr>
        <w:top w:val="none" w:sz="0" w:space="0" w:color="auto"/>
        <w:left w:val="none" w:sz="0" w:space="0" w:color="auto"/>
        <w:bottom w:val="none" w:sz="0" w:space="0" w:color="auto"/>
        <w:right w:val="none" w:sz="0" w:space="0" w:color="auto"/>
      </w:divBdr>
    </w:div>
    <w:div w:id="813570609">
      <w:bodyDiv w:val="1"/>
      <w:marLeft w:val="0"/>
      <w:marRight w:val="0"/>
      <w:marTop w:val="0"/>
      <w:marBottom w:val="0"/>
      <w:divBdr>
        <w:top w:val="none" w:sz="0" w:space="0" w:color="auto"/>
        <w:left w:val="none" w:sz="0" w:space="0" w:color="auto"/>
        <w:bottom w:val="none" w:sz="0" w:space="0" w:color="auto"/>
        <w:right w:val="none" w:sz="0" w:space="0" w:color="auto"/>
      </w:divBdr>
    </w:div>
    <w:div w:id="828904247">
      <w:bodyDiv w:val="1"/>
      <w:marLeft w:val="0"/>
      <w:marRight w:val="0"/>
      <w:marTop w:val="0"/>
      <w:marBottom w:val="0"/>
      <w:divBdr>
        <w:top w:val="none" w:sz="0" w:space="0" w:color="auto"/>
        <w:left w:val="none" w:sz="0" w:space="0" w:color="auto"/>
        <w:bottom w:val="none" w:sz="0" w:space="0" w:color="auto"/>
        <w:right w:val="none" w:sz="0" w:space="0" w:color="auto"/>
      </w:divBdr>
    </w:div>
    <w:div w:id="846797539">
      <w:bodyDiv w:val="1"/>
      <w:marLeft w:val="0"/>
      <w:marRight w:val="0"/>
      <w:marTop w:val="0"/>
      <w:marBottom w:val="0"/>
      <w:divBdr>
        <w:top w:val="none" w:sz="0" w:space="0" w:color="auto"/>
        <w:left w:val="none" w:sz="0" w:space="0" w:color="auto"/>
        <w:bottom w:val="none" w:sz="0" w:space="0" w:color="auto"/>
        <w:right w:val="none" w:sz="0" w:space="0" w:color="auto"/>
      </w:divBdr>
    </w:div>
    <w:div w:id="854420316">
      <w:bodyDiv w:val="1"/>
      <w:marLeft w:val="0"/>
      <w:marRight w:val="0"/>
      <w:marTop w:val="0"/>
      <w:marBottom w:val="0"/>
      <w:divBdr>
        <w:top w:val="none" w:sz="0" w:space="0" w:color="auto"/>
        <w:left w:val="none" w:sz="0" w:space="0" w:color="auto"/>
        <w:bottom w:val="none" w:sz="0" w:space="0" w:color="auto"/>
        <w:right w:val="none" w:sz="0" w:space="0" w:color="auto"/>
      </w:divBdr>
    </w:div>
    <w:div w:id="867570522">
      <w:bodyDiv w:val="1"/>
      <w:marLeft w:val="0"/>
      <w:marRight w:val="0"/>
      <w:marTop w:val="0"/>
      <w:marBottom w:val="0"/>
      <w:divBdr>
        <w:top w:val="none" w:sz="0" w:space="0" w:color="auto"/>
        <w:left w:val="none" w:sz="0" w:space="0" w:color="auto"/>
        <w:bottom w:val="none" w:sz="0" w:space="0" w:color="auto"/>
        <w:right w:val="none" w:sz="0" w:space="0" w:color="auto"/>
      </w:divBdr>
    </w:div>
    <w:div w:id="872425638">
      <w:bodyDiv w:val="1"/>
      <w:marLeft w:val="0"/>
      <w:marRight w:val="0"/>
      <w:marTop w:val="0"/>
      <w:marBottom w:val="0"/>
      <w:divBdr>
        <w:top w:val="none" w:sz="0" w:space="0" w:color="auto"/>
        <w:left w:val="none" w:sz="0" w:space="0" w:color="auto"/>
        <w:bottom w:val="none" w:sz="0" w:space="0" w:color="auto"/>
        <w:right w:val="none" w:sz="0" w:space="0" w:color="auto"/>
      </w:divBdr>
    </w:div>
    <w:div w:id="899555933">
      <w:bodyDiv w:val="1"/>
      <w:marLeft w:val="0"/>
      <w:marRight w:val="0"/>
      <w:marTop w:val="0"/>
      <w:marBottom w:val="0"/>
      <w:divBdr>
        <w:top w:val="none" w:sz="0" w:space="0" w:color="auto"/>
        <w:left w:val="none" w:sz="0" w:space="0" w:color="auto"/>
        <w:bottom w:val="none" w:sz="0" w:space="0" w:color="auto"/>
        <w:right w:val="none" w:sz="0" w:space="0" w:color="auto"/>
      </w:divBdr>
    </w:div>
    <w:div w:id="910503311">
      <w:bodyDiv w:val="1"/>
      <w:marLeft w:val="0"/>
      <w:marRight w:val="0"/>
      <w:marTop w:val="0"/>
      <w:marBottom w:val="0"/>
      <w:divBdr>
        <w:top w:val="none" w:sz="0" w:space="0" w:color="auto"/>
        <w:left w:val="none" w:sz="0" w:space="0" w:color="auto"/>
        <w:bottom w:val="none" w:sz="0" w:space="0" w:color="auto"/>
        <w:right w:val="none" w:sz="0" w:space="0" w:color="auto"/>
      </w:divBdr>
    </w:div>
    <w:div w:id="915092212">
      <w:bodyDiv w:val="1"/>
      <w:marLeft w:val="0"/>
      <w:marRight w:val="0"/>
      <w:marTop w:val="0"/>
      <w:marBottom w:val="0"/>
      <w:divBdr>
        <w:top w:val="none" w:sz="0" w:space="0" w:color="auto"/>
        <w:left w:val="none" w:sz="0" w:space="0" w:color="auto"/>
        <w:bottom w:val="none" w:sz="0" w:space="0" w:color="auto"/>
        <w:right w:val="none" w:sz="0" w:space="0" w:color="auto"/>
      </w:divBdr>
    </w:div>
    <w:div w:id="934485960">
      <w:bodyDiv w:val="1"/>
      <w:marLeft w:val="0"/>
      <w:marRight w:val="0"/>
      <w:marTop w:val="0"/>
      <w:marBottom w:val="0"/>
      <w:divBdr>
        <w:top w:val="none" w:sz="0" w:space="0" w:color="auto"/>
        <w:left w:val="none" w:sz="0" w:space="0" w:color="auto"/>
        <w:bottom w:val="none" w:sz="0" w:space="0" w:color="auto"/>
        <w:right w:val="none" w:sz="0" w:space="0" w:color="auto"/>
      </w:divBdr>
      <w:divsChild>
        <w:div w:id="924611478">
          <w:marLeft w:val="576"/>
          <w:marRight w:val="0"/>
          <w:marTop w:val="0"/>
          <w:marBottom w:val="0"/>
          <w:divBdr>
            <w:top w:val="none" w:sz="0" w:space="0" w:color="auto"/>
            <w:left w:val="none" w:sz="0" w:space="0" w:color="auto"/>
            <w:bottom w:val="none" w:sz="0" w:space="0" w:color="auto"/>
            <w:right w:val="none" w:sz="0" w:space="0" w:color="auto"/>
          </w:divBdr>
        </w:div>
        <w:div w:id="1320384253">
          <w:marLeft w:val="1238"/>
          <w:marRight w:val="0"/>
          <w:marTop w:val="0"/>
          <w:marBottom w:val="0"/>
          <w:divBdr>
            <w:top w:val="none" w:sz="0" w:space="0" w:color="auto"/>
            <w:left w:val="none" w:sz="0" w:space="0" w:color="auto"/>
            <w:bottom w:val="none" w:sz="0" w:space="0" w:color="auto"/>
            <w:right w:val="none" w:sz="0" w:space="0" w:color="auto"/>
          </w:divBdr>
        </w:div>
        <w:div w:id="171843305">
          <w:marLeft w:val="1238"/>
          <w:marRight w:val="0"/>
          <w:marTop w:val="0"/>
          <w:marBottom w:val="0"/>
          <w:divBdr>
            <w:top w:val="none" w:sz="0" w:space="0" w:color="auto"/>
            <w:left w:val="none" w:sz="0" w:space="0" w:color="auto"/>
            <w:bottom w:val="none" w:sz="0" w:space="0" w:color="auto"/>
            <w:right w:val="none" w:sz="0" w:space="0" w:color="auto"/>
          </w:divBdr>
        </w:div>
        <w:div w:id="1787195047">
          <w:marLeft w:val="1238"/>
          <w:marRight w:val="0"/>
          <w:marTop w:val="0"/>
          <w:marBottom w:val="0"/>
          <w:divBdr>
            <w:top w:val="none" w:sz="0" w:space="0" w:color="auto"/>
            <w:left w:val="none" w:sz="0" w:space="0" w:color="auto"/>
            <w:bottom w:val="none" w:sz="0" w:space="0" w:color="auto"/>
            <w:right w:val="none" w:sz="0" w:space="0" w:color="auto"/>
          </w:divBdr>
        </w:div>
      </w:divsChild>
    </w:div>
    <w:div w:id="939877002">
      <w:bodyDiv w:val="1"/>
      <w:marLeft w:val="0"/>
      <w:marRight w:val="0"/>
      <w:marTop w:val="0"/>
      <w:marBottom w:val="0"/>
      <w:divBdr>
        <w:top w:val="none" w:sz="0" w:space="0" w:color="auto"/>
        <w:left w:val="none" w:sz="0" w:space="0" w:color="auto"/>
        <w:bottom w:val="none" w:sz="0" w:space="0" w:color="auto"/>
        <w:right w:val="none" w:sz="0" w:space="0" w:color="auto"/>
      </w:divBdr>
    </w:div>
    <w:div w:id="948319811">
      <w:bodyDiv w:val="1"/>
      <w:marLeft w:val="0"/>
      <w:marRight w:val="0"/>
      <w:marTop w:val="0"/>
      <w:marBottom w:val="0"/>
      <w:divBdr>
        <w:top w:val="none" w:sz="0" w:space="0" w:color="auto"/>
        <w:left w:val="none" w:sz="0" w:space="0" w:color="auto"/>
        <w:bottom w:val="none" w:sz="0" w:space="0" w:color="auto"/>
        <w:right w:val="none" w:sz="0" w:space="0" w:color="auto"/>
      </w:divBdr>
    </w:div>
    <w:div w:id="970016024">
      <w:bodyDiv w:val="1"/>
      <w:marLeft w:val="0"/>
      <w:marRight w:val="0"/>
      <w:marTop w:val="0"/>
      <w:marBottom w:val="0"/>
      <w:divBdr>
        <w:top w:val="none" w:sz="0" w:space="0" w:color="auto"/>
        <w:left w:val="none" w:sz="0" w:space="0" w:color="auto"/>
        <w:bottom w:val="none" w:sz="0" w:space="0" w:color="auto"/>
        <w:right w:val="none" w:sz="0" w:space="0" w:color="auto"/>
      </w:divBdr>
      <w:divsChild>
        <w:div w:id="1082140728">
          <w:marLeft w:val="547"/>
          <w:marRight w:val="0"/>
          <w:marTop w:val="0"/>
          <w:marBottom w:val="0"/>
          <w:divBdr>
            <w:top w:val="none" w:sz="0" w:space="0" w:color="auto"/>
            <w:left w:val="none" w:sz="0" w:space="0" w:color="auto"/>
            <w:bottom w:val="none" w:sz="0" w:space="0" w:color="auto"/>
            <w:right w:val="none" w:sz="0" w:space="0" w:color="auto"/>
          </w:divBdr>
        </w:div>
        <w:div w:id="1793595596">
          <w:marLeft w:val="547"/>
          <w:marRight w:val="0"/>
          <w:marTop w:val="0"/>
          <w:marBottom w:val="0"/>
          <w:divBdr>
            <w:top w:val="none" w:sz="0" w:space="0" w:color="auto"/>
            <w:left w:val="none" w:sz="0" w:space="0" w:color="auto"/>
            <w:bottom w:val="none" w:sz="0" w:space="0" w:color="auto"/>
            <w:right w:val="none" w:sz="0" w:space="0" w:color="auto"/>
          </w:divBdr>
        </w:div>
        <w:div w:id="767310530">
          <w:marLeft w:val="547"/>
          <w:marRight w:val="0"/>
          <w:marTop w:val="0"/>
          <w:marBottom w:val="0"/>
          <w:divBdr>
            <w:top w:val="none" w:sz="0" w:space="0" w:color="auto"/>
            <w:left w:val="none" w:sz="0" w:space="0" w:color="auto"/>
            <w:bottom w:val="none" w:sz="0" w:space="0" w:color="auto"/>
            <w:right w:val="none" w:sz="0" w:space="0" w:color="auto"/>
          </w:divBdr>
        </w:div>
      </w:divsChild>
    </w:div>
    <w:div w:id="994914549">
      <w:bodyDiv w:val="1"/>
      <w:marLeft w:val="0"/>
      <w:marRight w:val="0"/>
      <w:marTop w:val="0"/>
      <w:marBottom w:val="0"/>
      <w:divBdr>
        <w:top w:val="none" w:sz="0" w:space="0" w:color="auto"/>
        <w:left w:val="none" w:sz="0" w:space="0" w:color="auto"/>
        <w:bottom w:val="none" w:sz="0" w:space="0" w:color="auto"/>
        <w:right w:val="none" w:sz="0" w:space="0" w:color="auto"/>
      </w:divBdr>
    </w:div>
    <w:div w:id="1022362370">
      <w:bodyDiv w:val="1"/>
      <w:marLeft w:val="0"/>
      <w:marRight w:val="0"/>
      <w:marTop w:val="0"/>
      <w:marBottom w:val="0"/>
      <w:divBdr>
        <w:top w:val="none" w:sz="0" w:space="0" w:color="auto"/>
        <w:left w:val="none" w:sz="0" w:space="0" w:color="auto"/>
        <w:bottom w:val="none" w:sz="0" w:space="0" w:color="auto"/>
        <w:right w:val="none" w:sz="0" w:space="0" w:color="auto"/>
      </w:divBdr>
    </w:div>
    <w:div w:id="1028064870">
      <w:bodyDiv w:val="1"/>
      <w:marLeft w:val="0"/>
      <w:marRight w:val="0"/>
      <w:marTop w:val="0"/>
      <w:marBottom w:val="0"/>
      <w:divBdr>
        <w:top w:val="none" w:sz="0" w:space="0" w:color="auto"/>
        <w:left w:val="none" w:sz="0" w:space="0" w:color="auto"/>
        <w:bottom w:val="none" w:sz="0" w:space="0" w:color="auto"/>
        <w:right w:val="none" w:sz="0" w:space="0" w:color="auto"/>
      </w:divBdr>
      <w:divsChild>
        <w:div w:id="197594560">
          <w:marLeft w:val="576"/>
          <w:marRight w:val="0"/>
          <w:marTop w:val="0"/>
          <w:marBottom w:val="0"/>
          <w:divBdr>
            <w:top w:val="none" w:sz="0" w:space="0" w:color="auto"/>
            <w:left w:val="none" w:sz="0" w:space="0" w:color="auto"/>
            <w:bottom w:val="none" w:sz="0" w:space="0" w:color="auto"/>
            <w:right w:val="none" w:sz="0" w:space="0" w:color="auto"/>
          </w:divBdr>
        </w:div>
        <w:div w:id="1539581596">
          <w:marLeft w:val="576"/>
          <w:marRight w:val="0"/>
          <w:marTop w:val="0"/>
          <w:marBottom w:val="0"/>
          <w:divBdr>
            <w:top w:val="none" w:sz="0" w:space="0" w:color="auto"/>
            <w:left w:val="none" w:sz="0" w:space="0" w:color="auto"/>
            <w:bottom w:val="none" w:sz="0" w:space="0" w:color="auto"/>
            <w:right w:val="none" w:sz="0" w:space="0" w:color="auto"/>
          </w:divBdr>
        </w:div>
        <w:div w:id="403647939">
          <w:marLeft w:val="576"/>
          <w:marRight w:val="0"/>
          <w:marTop w:val="0"/>
          <w:marBottom w:val="0"/>
          <w:divBdr>
            <w:top w:val="none" w:sz="0" w:space="0" w:color="auto"/>
            <w:left w:val="none" w:sz="0" w:space="0" w:color="auto"/>
            <w:bottom w:val="none" w:sz="0" w:space="0" w:color="auto"/>
            <w:right w:val="none" w:sz="0" w:space="0" w:color="auto"/>
          </w:divBdr>
        </w:div>
        <w:div w:id="1779331121">
          <w:marLeft w:val="576"/>
          <w:marRight w:val="0"/>
          <w:marTop w:val="0"/>
          <w:marBottom w:val="0"/>
          <w:divBdr>
            <w:top w:val="none" w:sz="0" w:space="0" w:color="auto"/>
            <w:left w:val="none" w:sz="0" w:space="0" w:color="auto"/>
            <w:bottom w:val="none" w:sz="0" w:space="0" w:color="auto"/>
            <w:right w:val="none" w:sz="0" w:space="0" w:color="auto"/>
          </w:divBdr>
        </w:div>
        <w:div w:id="392311819">
          <w:marLeft w:val="562"/>
          <w:marRight w:val="0"/>
          <w:marTop w:val="0"/>
          <w:marBottom w:val="0"/>
          <w:divBdr>
            <w:top w:val="none" w:sz="0" w:space="0" w:color="auto"/>
            <w:left w:val="none" w:sz="0" w:space="0" w:color="auto"/>
            <w:bottom w:val="none" w:sz="0" w:space="0" w:color="auto"/>
            <w:right w:val="none" w:sz="0" w:space="0" w:color="auto"/>
          </w:divBdr>
        </w:div>
        <w:div w:id="1130396459">
          <w:marLeft w:val="576"/>
          <w:marRight w:val="0"/>
          <w:marTop w:val="0"/>
          <w:marBottom w:val="0"/>
          <w:divBdr>
            <w:top w:val="none" w:sz="0" w:space="0" w:color="auto"/>
            <w:left w:val="none" w:sz="0" w:space="0" w:color="auto"/>
            <w:bottom w:val="none" w:sz="0" w:space="0" w:color="auto"/>
            <w:right w:val="none" w:sz="0" w:space="0" w:color="auto"/>
          </w:divBdr>
        </w:div>
      </w:divsChild>
    </w:div>
    <w:div w:id="1096291652">
      <w:bodyDiv w:val="1"/>
      <w:marLeft w:val="0"/>
      <w:marRight w:val="0"/>
      <w:marTop w:val="0"/>
      <w:marBottom w:val="0"/>
      <w:divBdr>
        <w:top w:val="none" w:sz="0" w:space="0" w:color="auto"/>
        <w:left w:val="none" w:sz="0" w:space="0" w:color="auto"/>
        <w:bottom w:val="none" w:sz="0" w:space="0" w:color="auto"/>
        <w:right w:val="none" w:sz="0" w:space="0" w:color="auto"/>
      </w:divBdr>
    </w:div>
    <w:div w:id="1105804026">
      <w:bodyDiv w:val="1"/>
      <w:marLeft w:val="0"/>
      <w:marRight w:val="0"/>
      <w:marTop w:val="0"/>
      <w:marBottom w:val="0"/>
      <w:divBdr>
        <w:top w:val="none" w:sz="0" w:space="0" w:color="auto"/>
        <w:left w:val="none" w:sz="0" w:space="0" w:color="auto"/>
        <w:bottom w:val="none" w:sz="0" w:space="0" w:color="auto"/>
        <w:right w:val="none" w:sz="0" w:space="0" w:color="auto"/>
      </w:divBdr>
    </w:div>
    <w:div w:id="1127352539">
      <w:bodyDiv w:val="1"/>
      <w:marLeft w:val="0"/>
      <w:marRight w:val="0"/>
      <w:marTop w:val="0"/>
      <w:marBottom w:val="0"/>
      <w:divBdr>
        <w:top w:val="none" w:sz="0" w:space="0" w:color="auto"/>
        <w:left w:val="none" w:sz="0" w:space="0" w:color="auto"/>
        <w:bottom w:val="none" w:sz="0" w:space="0" w:color="auto"/>
        <w:right w:val="none" w:sz="0" w:space="0" w:color="auto"/>
      </w:divBdr>
    </w:div>
    <w:div w:id="1136723839">
      <w:bodyDiv w:val="1"/>
      <w:marLeft w:val="0"/>
      <w:marRight w:val="0"/>
      <w:marTop w:val="0"/>
      <w:marBottom w:val="0"/>
      <w:divBdr>
        <w:top w:val="none" w:sz="0" w:space="0" w:color="auto"/>
        <w:left w:val="none" w:sz="0" w:space="0" w:color="auto"/>
        <w:bottom w:val="none" w:sz="0" w:space="0" w:color="auto"/>
        <w:right w:val="none" w:sz="0" w:space="0" w:color="auto"/>
      </w:divBdr>
    </w:div>
    <w:div w:id="1169829095">
      <w:bodyDiv w:val="1"/>
      <w:marLeft w:val="0"/>
      <w:marRight w:val="0"/>
      <w:marTop w:val="0"/>
      <w:marBottom w:val="0"/>
      <w:divBdr>
        <w:top w:val="none" w:sz="0" w:space="0" w:color="auto"/>
        <w:left w:val="none" w:sz="0" w:space="0" w:color="auto"/>
        <w:bottom w:val="none" w:sz="0" w:space="0" w:color="auto"/>
        <w:right w:val="none" w:sz="0" w:space="0" w:color="auto"/>
      </w:divBdr>
    </w:div>
    <w:div w:id="1171064105">
      <w:bodyDiv w:val="1"/>
      <w:marLeft w:val="0"/>
      <w:marRight w:val="0"/>
      <w:marTop w:val="0"/>
      <w:marBottom w:val="0"/>
      <w:divBdr>
        <w:top w:val="none" w:sz="0" w:space="0" w:color="auto"/>
        <w:left w:val="none" w:sz="0" w:space="0" w:color="auto"/>
        <w:bottom w:val="none" w:sz="0" w:space="0" w:color="auto"/>
        <w:right w:val="none" w:sz="0" w:space="0" w:color="auto"/>
      </w:divBdr>
    </w:div>
    <w:div w:id="1174109519">
      <w:bodyDiv w:val="1"/>
      <w:marLeft w:val="0"/>
      <w:marRight w:val="0"/>
      <w:marTop w:val="0"/>
      <w:marBottom w:val="0"/>
      <w:divBdr>
        <w:top w:val="none" w:sz="0" w:space="0" w:color="auto"/>
        <w:left w:val="none" w:sz="0" w:space="0" w:color="auto"/>
        <w:bottom w:val="none" w:sz="0" w:space="0" w:color="auto"/>
        <w:right w:val="none" w:sz="0" w:space="0" w:color="auto"/>
      </w:divBdr>
      <w:divsChild>
        <w:div w:id="447091798">
          <w:marLeft w:val="576"/>
          <w:marRight w:val="0"/>
          <w:marTop w:val="0"/>
          <w:marBottom w:val="0"/>
          <w:divBdr>
            <w:top w:val="none" w:sz="0" w:space="0" w:color="auto"/>
            <w:left w:val="none" w:sz="0" w:space="0" w:color="auto"/>
            <w:bottom w:val="none" w:sz="0" w:space="0" w:color="auto"/>
            <w:right w:val="none" w:sz="0" w:space="0" w:color="auto"/>
          </w:divBdr>
        </w:div>
        <w:div w:id="1799645014">
          <w:marLeft w:val="1238"/>
          <w:marRight w:val="0"/>
          <w:marTop w:val="0"/>
          <w:marBottom w:val="0"/>
          <w:divBdr>
            <w:top w:val="none" w:sz="0" w:space="0" w:color="auto"/>
            <w:left w:val="none" w:sz="0" w:space="0" w:color="auto"/>
            <w:bottom w:val="none" w:sz="0" w:space="0" w:color="auto"/>
            <w:right w:val="none" w:sz="0" w:space="0" w:color="auto"/>
          </w:divBdr>
        </w:div>
        <w:div w:id="1431974662">
          <w:marLeft w:val="1238"/>
          <w:marRight w:val="0"/>
          <w:marTop w:val="0"/>
          <w:marBottom w:val="0"/>
          <w:divBdr>
            <w:top w:val="none" w:sz="0" w:space="0" w:color="auto"/>
            <w:left w:val="none" w:sz="0" w:space="0" w:color="auto"/>
            <w:bottom w:val="none" w:sz="0" w:space="0" w:color="auto"/>
            <w:right w:val="none" w:sz="0" w:space="0" w:color="auto"/>
          </w:divBdr>
        </w:div>
        <w:div w:id="1160190199">
          <w:marLeft w:val="1238"/>
          <w:marRight w:val="0"/>
          <w:marTop w:val="0"/>
          <w:marBottom w:val="0"/>
          <w:divBdr>
            <w:top w:val="none" w:sz="0" w:space="0" w:color="auto"/>
            <w:left w:val="none" w:sz="0" w:space="0" w:color="auto"/>
            <w:bottom w:val="none" w:sz="0" w:space="0" w:color="auto"/>
            <w:right w:val="none" w:sz="0" w:space="0" w:color="auto"/>
          </w:divBdr>
        </w:div>
      </w:divsChild>
    </w:div>
    <w:div w:id="1205747839">
      <w:bodyDiv w:val="1"/>
      <w:marLeft w:val="0"/>
      <w:marRight w:val="0"/>
      <w:marTop w:val="0"/>
      <w:marBottom w:val="0"/>
      <w:divBdr>
        <w:top w:val="none" w:sz="0" w:space="0" w:color="auto"/>
        <w:left w:val="none" w:sz="0" w:space="0" w:color="auto"/>
        <w:bottom w:val="none" w:sz="0" w:space="0" w:color="auto"/>
        <w:right w:val="none" w:sz="0" w:space="0" w:color="auto"/>
      </w:divBdr>
    </w:div>
    <w:div w:id="1233003710">
      <w:bodyDiv w:val="1"/>
      <w:marLeft w:val="0"/>
      <w:marRight w:val="0"/>
      <w:marTop w:val="0"/>
      <w:marBottom w:val="0"/>
      <w:divBdr>
        <w:top w:val="none" w:sz="0" w:space="0" w:color="auto"/>
        <w:left w:val="none" w:sz="0" w:space="0" w:color="auto"/>
        <w:bottom w:val="none" w:sz="0" w:space="0" w:color="auto"/>
        <w:right w:val="none" w:sz="0" w:space="0" w:color="auto"/>
      </w:divBdr>
    </w:div>
    <w:div w:id="1250502608">
      <w:bodyDiv w:val="1"/>
      <w:marLeft w:val="0"/>
      <w:marRight w:val="0"/>
      <w:marTop w:val="0"/>
      <w:marBottom w:val="0"/>
      <w:divBdr>
        <w:top w:val="none" w:sz="0" w:space="0" w:color="auto"/>
        <w:left w:val="none" w:sz="0" w:space="0" w:color="auto"/>
        <w:bottom w:val="none" w:sz="0" w:space="0" w:color="auto"/>
        <w:right w:val="none" w:sz="0" w:space="0" w:color="auto"/>
      </w:divBdr>
    </w:div>
    <w:div w:id="1257447491">
      <w:bodyDiv w:val="1"/>
      <w:marLeft w:val="0"/>
      <w:marRight w:val="0"/>
      <w:marTop w:val="0"/>
      <w:marBottom w:val="0"/>
      <w:divBdr>
        <w:top w:val="none" w:sz="0" w:space="0" w:color="auto"/>
        <w:left w:val="none" w:sz="0" w:space="0" w:color="auto"/>
        <w:bottom w:val="none" w:sz="0" w:space="0" w:color="auto"/>
        <w:right w:val="none" w:sz="0" w:space="0" w:color="auto"/>
      </w:divBdr>
    </w:div>
    <w:div w:id="1259485029">
      <w:bodyDiv w:val="1"/>
      <w:marLeft w:val="0"/>
      <w:marRight w:val="0"/>
      <w:marTop w:val="0"/>
      <w:marBottom w:val="0"/>
      <w:divBdr>
        <w:top w:val="none" w:sz="0" w:space="0" w:color="auto"/>
        <w:left w:val="none" w:sz="0" w:space="0" w:color="auto"/>
        <w:bottom w:val="none" w:sz="0" w:space="0" w:color="auto"/>
        <w:right w:val="none" w:sz="0" w:space="0" w:color="auto"/>
      </w:divBdr>
    </w:div>
    <w:div w:id="1290280250">
      <w:bodyDiv w:val="1"/>
      <w:marLeft w:val="0"/>
      <w:marRight w:val="0"/>
      <w:marTop w:val="0"/>
      <w:marBottom w:val="0"/>
      <w:divBdr>
        <w:top w:val="none" w:sz="0" w:space="0" w:color="auto"/>
        <w:left w:val="none" w:sz="0" w:space="0" w:color="auto"/>
        <w:bottom w:val="none" w:sz="0" w:space="0" w:color="auto"/>
        <w:right w:val="none" w:sz="0" w:space="0" w:color="auto"/>
      </w:divBdr>
    </w:div>
    <w:div w:id="1295522003">
      <w:bodyDiv w:val="1"/>
      <w:marLeft w:val="0"/>
      <w:marRight w:val="0"/>
      <w:marTop w:val="0"/>
      <w:marBottom w:val="0"/>
      <w:divBdr>
        <w:top w:val="none" w:sz="0" w:space="0" w:color="auto"/>
        <w:left w:val="none" w:sz="0" w:space="0" w:color="auto"/>
        <w:bottom w:val="none" w:sz="0" w:space="0" w:color="auto"/>
        <w:right w:val="none" w:sz="0" w:space="0" w:color="auto"/>
      </w:divBdr>
    </w:div>
    <w:div w:id="1302416504">
      <w:bodyDiv w:val="1"/>
      <w:marLeft w:val="0"/>
      <w:marRight w:val="0"/>
      <w:marTop w:val="0"/>
      <w:marBottom w:val="0"/>
      <w:divBdr>
        <w:top w:val="none" w:sz="0" w:space="0" w:color="auto"/>
        <w:left w:val="none" w:sz="0" w:space="0" w:color="auto"/>
        <w:bottom w:val="none" w:sz="0" w:space="0" w:color="auto"/>
        <w:right w:val="none" w:sz="0" w:space="0" w:color="auto"/>
      </w:divBdr>
    </w:div>
    <w:div w:id="1313557888">
      <w:bodyDiv w:val="1"/>
      <w:marLeft w:val="0"/>
      <w:marRight w:val="0"/>
      <w:marTop w:val="0"/>
      <w:marBottom w:val="0"/>
      <w:divBdr>
        <w:top w:val="none" w:sz="0" w:space="0" w:color="auto"/>
        <w:left w:val="none" w:sz="0" w:space="0" w:color="auto"/>
        <w:bottom w:val="none" w:sz="0" w:space="0" w:color="auto"/>
        <w:right w:val="none" w:sz="0" w:space="0" w:color="auto"/>
      </w:divBdr>
    </w:div>
    <w:div w:id="1330788478">
      <w:bodyDiv w:val="1"/>
      <w:marLeft w:val="0"/>
      <w:marRight w:val="0"/>
      <w:marTop w:val="0"/>
      <w:marBottom w:val="0"/>
      <w:divBdr>
        <w:top w:val="none" w:sz="0" w:space="0" w:color="auto"/>
        <w:left w:val="none" w:sz="0" w:space="0" w:color="auto"/>
        <w:bottom w:val="none" w:sz="0" w:space="0" w:color="auto"/>
        <w:right w:val="none" w:sz="0" w:space="0" w:color="auto"/>
      </w:divBdr>
    </w:div>
    <w:div w:id="1334261796">
      <w:bodyDiv w:val="1"/>
      <w:marLeft w:val="0"/>
      <w:marRight w:val="0"/>
      <w:marTop w:val="0"/>
      <w:marBottom w:val="0"/>
      <w:divBdr>
        <w:top w:val="none" w:sz="0" w:space="0" w:color="auto"/>
        <w:left w:val="none" w:sz="0" w:space="0" w:color="auto"/>
        <w:bottom w:val="none" w:sz="0" w:space="0" w:color="auto"/>
        <w:right w:val="none" w:sz="0" w:space="0" w:color="auto"/>
      </w:divBdr>
    </w:div>
    <w:div w:id="1385714891">
      <w:bodyDiv w:val="1"/>
      <w:marLeft w:val="0"/>
      <w:marRight w:val="0"/>
      <w:marTop w:val="0"/>
      <w:marBottom w:val="0"/>
      <w:divBdr>
        <w:top w:val="none" w:sz="0" w:space="0" w:color="auto"/>
        <w:left w:val="none" w:sz="0" w:space="0" w:color="auto"/>
        <w:bottom w:val="none" w:sz="0" w:space="0" w:color="auto"/>
        <w:right w:val="none" w:sz="0" w:space="0" w:color="auto"/>
      </w:divBdr>
    </w:div>
    <w:div w:id="1387804246">
      <w:bodyDiv w:val="1"/>
      <w:marLeft w:val="0"/>
      <w:marRight w:val="0"/>
      <w:marTop w:val="0"/>
      <w:marBottom w:val="0"/>
      <w:divBdr>
        <w:top w:val="none" w:sz="0" w:space="0" w:color="auto"/>
        <w:left w:val="none" w:sz="0" w:space="0" w:color="auto"/>
        <w:bottom w:val="none" w:sz="0" w:space="0" w:color="auto"/>
        <w:right w:val="none" w:sz="0" w:space="0" w:color="auto"/>
      </w:divBdr>
    </w:div>
    <w:div w:id="1432356343">
      <w:bodyDiv w:val="1"/>
      <w:marLeft w:val="0"/>
      <w:marRight w:val="0"/>
      <w:marTop w:val="0"/>
      <w:marBottom w:val="0"/>
      <w:divBdr>
        <w:top w:val="none" w:sz="0" w:space="0" w:color="auto"/>
        <w:left w:val="none" w:sz="0" w:space="0" w:color="auto"/>
        <w:bottom w:val="none" w:sz="0" w:space="0" w:color="auto"/>
        <w:right w:val="none" w:sz="0" w:space="0" w:color="auto"/>
      </w:divBdr>
    </w:div>
    <w:div w:id="1477382759">
      <w:bodyDiv w:val="1"/>
      <w:marLeft w:val="0"/>
      <w:marRight w:val="0"/>
      <w:marTop w:val="0"/>
      <w:marBottom w:val="0"/>
      <w:divBdr>
        <w:top w:val="none" w:sz="0" w:space="0" w:color="auto"/>
        <w:left w:val="none" w:sz="0" w:space="0" w:color="auto"/>
        <w:bottom w:val="none" w:sz="0" w:space="0" w:color="auto"/>
        <w:right w:val="none" w:sz="0" w:space="0" w:color="auto"/>
      </w:divBdr>
    </w:div>
    <w:div w:id="1478256657">
      <w:bodyDiv w:val="1"/>
      <w:marLeft w:val="0"/>
      <w:marRight w:val="0"/>
      <w:marTop w:val="0"/>
      <w:marBottom w:val="0"/>
      <w:divBdr>
        <w:top w:val="none" w:sz="0" w:space="0" w:color="auto"/>
        <w:left w:val="none" w:sz="0" w:space="0" w:color="auto"/>
        <w:bottom w:val="none" w:sz="0" w:space="0" w:color="auto"/>
        <w:right w:val="none" w:sz="0" w:space="0" w:color="auto"/>
      </w:divBdr>
    </w:div>
    <w:div w:id="1497304084">
      <w:bodyDiv w:val="1"/>
      <w:marLeft w:val="0"/>
      <w:marRight w:val="0"/>
      <w:marTop w:val="0"/>
      <w:marBottom w:val="0"/>
      <w:divBdr>
        <w:top w:val="none" w:sz="0" w:space="0" w:color="auto"/>
        <w:left w:val="none" w:sz="0" w:space="0" w:color="auto"/>
        <w:bottom w:val="none" w:sz="0" w:space="0" w:color="auto"/>
        <w:right w:val="none" w:sz="0" w:space="0" w:color="auto"/>
      </w:divBdr>
    </w:div>
    <w:div w:id="1517112878">
      <w:bodyDiv w:val="1"/>
      <w:marLeft w:val="0"/>
      <w:marRight w:val="0"/>
      <w:marTop w:val="0"/>
      <w:marBottom w:val="0"/>
      <w:divBdr>
        <w:top w:val="none" w:sz="0" w:space="0" w:color="auto"/>
        <w:left w:val="none" w:sz="0" w:space="0" w:color="auto"/>
        <w:bottom w:val="none" w:sz="0" w:space="0" w:color="auto"/>
        <w:right w:val="none" w:sz="0" w:space="0" w:color="auto"/>
      </w:divBdr>
    </w:div>
    <w:div w:id="1524322472">
      <w:bodyDiv w:val="1"/>
      <w:marLeft w:val="0"/>
      <w:marRight w:val="0"/>
      <w:marTop w:val="0"/>
      <w:marBottom w:val="0"/>
      <w:divBdr>
        <w:top w:val="none" w:sz="0" w:space="0" w:color="auto"/>
        <w:left w:val="none" w:sz="0" w:space="0" w:color="auto"/>
        <w:bottom w:val="none" w:sz="0" w:space="0" w:color="auto"/>
        <w:right w:val="none" w:sz="0" w:space="0" w:color="auto"/>
      </w:divBdr>
    </w:div>
    <w:div w:id="1524904366">
      <w:bodyDiv w:val="1"/>
      <w:marLeft w:val="0"/>
      <w:marRight w:val="0"/>
      <w:marTop w:val="0"/>
      <w:marBottom w:val="0"/>
      <w:divBdr>
        <w:top w:val="none" w:sz="0" w:space="0" w:color="auto"/>
        <w:left w:val="none" w:sz="0" w:space="0" w:color="auto"/>
        <w:bottom w:val="none" w:sz="0" w:space="0" w:color="auto"/>
        <w:right w:val="none" w:sz="0" w:space="0" w:color="auto"/>
      </w:divBdr>
    </w:div>
    <w:div w:id="1528251020">
      <w:bodyDiv w:val="1"/>
      <w:marLeft w:val="0"/>
      <w:marRight w:val="0"/>
      <w:marTop w:val="0"/>
      <w:marBottom w:val="0"/>
      <w:divBdr>
        <w:top w:val="none" w:sz="0" w:space="0" w:color="auto"/>
        <w:left w:val="none" w:sz="0" w:space="0" w:color="auto"/>
        <w:bottom w:val="none" w:sz="0" w:space="0" w:color="auto"/>
        <w:right w:val="none" w:sz="0" w:space="0" w:color="auto"/>
      </w:divBdr>
    </w:div>
    <w:div w:id="1573392242">
      <w:bodyDiv w:val="1"/>
      <w:marLeft w:val="0"/>
      <w:marRight w:val="0"/>
      <w:marTop w:val="0"/>
      <w:marBottom w:val="0"/>
      <w:divBdr>
        <w:top w:val="none" w:sz="0" w:space="0" w:color="auto"/>
        <w:left w:val="none" w:sz="0" w:space="0" w:color="auto"/>
        <w:bottom w:val="none" w:sz="0" w:space="0" w:color="auto"/>
        <w:right w:val="none" w:sz="0" w:space="0" w:color="auto"/>
      </w:divBdr>
    </w:div>
    <w:div w:id="1582325902">
      <w:bodyDiv w:val="1"/>
      <w:marLeft w:val="0"/>
      <w:marRight w:val="0"/>
      <w:marTop w:val="0"/>
      <w:marBottom w:val="0"/>
      <w:divBdr>
        <w:top w:val="none" w:sz="0" w:space="0" w:color="auto"/>
        <w:left w:val="none" w:sz="0" w:space="0" w:color="auto"/>
        <w:bottom w:val="none" w:sz="0" w:space="0" w:color="auto"/>
        <w:right w:val="none" w:sz="0" w:space="0" w:color="auto"/>
      </w:divBdr>
    </w:div>
    <w:div w:id="1588660461">
      <w:bodyDiv w:val="1"/>
      <w:marLeft w:val="0"/>
      <w:marRight w:val="0"/>
      <w:marTop w:val="0"/>
      <w:marBottom w:val="0"/>
      <w:divBdr>
        <w:top w:val="none" w:sz="0" w:space="0" w:color="auto"/>
        <w:left w:val="none" w:sz="0" w:space="0" w:color="auto"/>
        <w:bottom w:val="none" w:sz="0" w:space="0" w:color="auto"/>
        <w:right w:val="none" w:sz="0" w:space="0" w:color="auto"/>
      </w:divBdr>
    </w:div>
    <w:div w:id="1609579241">
      <w:bodyDiv w:val="1"/>
      <w:marLeft w:val="0"/>
      <w:marRight w:val="0"/>
      <w:marTop w:val="0"/>
      <w:marBottom w:val="0"/>
      <w:divBdr>
        <w:top w:val="none" w:sz="0" w:space="0" w:color="auto"/>
        <w:left w:val="none" w:sz="0" w:space="0" w:color="auto"/>
        <w:bottom w:val="none" w:sz="0" w:space="0" w:color="auto"/>
        <w:right w:val="none" w:sz="0" w:space="0" w:color="auto"/>
      </w:divBdr>
    </w:div>
    <w:div w:id="1610700060">
      <w:bodyDiv w:val="1"/>
      <w:marLeft w:val="0"/>
      <w:marRight w:val="0"/>
      <w:marTop w:val="0"/>
      <w:marBottom w:val="0"/>
      <w:divBdr>
        <w:top w:val="none" w:sz="0" w:space="0" w:color="auto"/>
        <w:left w:val="none" w:sz="0" w:space="0" w:color="auto"/>
        <w:bottom w:val="none" w:sz="0" w:space="0" w:color="auto"/>
        <w:right w:val="none" w:sz="0" w:space="0" w:color="auto"/>
      </w:divBdr>
    </w:div>
    <w:div w:id="1619070934">
      <w:bodyDiv w:val="1"/>
      <w:marLeft w:val="0"/>
      <w:marRight w:val="0"/>
      <w:marTop w:val="0"/>
      <w:marBottom w:val="0"/>
      <w:divBdr>
        <w:top w:val="none" w:sz="0" w:space="0" w:color="auto"/>
        <w:left w:val="none" w:sz="0" w:space="0" w:color="auto"/>
        <w:bottom w:val="none" w:sz="0" w:space="0" w:color="auto"/>
        <w:right w:val="none" w:sz="0" w:space="0" w:color="auto"/>
      </w:divBdr>
    </w:div>
    <w:div w:id="1667706591">
      <w:bodyDiv w:val="1"/>
      <w:marLeft w:val="0"/>
      <w:marRight w:val="0"/>
      <w:marTop w:val="0"/>
      <w:marBottom w:val="0"/>
      <w:divBdr>
        <w:top w:val="none" w:sz="0" w:space="0" w:color="auto"/>
        <w:left w:val="none" w:sz="0" w:space="0" w:color="auto"/>
        <w:bottom w:val="none" w:sz="0" w:space="0" w:color="auto"/>
        <w:right w:val="none" w:sz="0" w:space="0" w:color="auto"/>
      </w:divBdr>
    </w:div>
    <w:div w:id="1691951541">
      <w:bodyDiv w:val="1"/>
      <w:marLeft w:val="0"/>
      <w:marRight w:val="0"/>
      <w:marTop w:val="0"/>
      <w:marBottom w:val="0"/>
      <w:divBdr>
        <w:top w:val="none" w:sz="0" w:space="0" w:color="auto"/>
        <w:left w:val="none" w:sz="0" w:space="0" w:color="auto"/>
        <w:bottom w:val="none" w:sz="0" w:space="0" w:color="auto"/>
        <w:right w:val="none" w:sz="0" w:space="0" w:color="auto"/>
      </w:divBdr>
    </w:div>
    <w:div w:id="1698190165">
      <w:bodyDiv w:val="1"/>
      <w:marLeft w:val="0"/>
      <w:marRight w:val="0"/>
      <w:marTop w:val="0"/>
      <w:marBottom w:val="0"/>
      <w:divBdr>
        <w:top w:val="none" w:sz="0" w:space="0" w:color="auto"/>
        <w:left w:val="none" w:sz="0" w:space="0" w:color="auto"/>
        <w:bottom w:val="none" w:sz="0" w:space="0" w:color="auto"/>
        <w:right w:val="none" w:sz="0" w:space="0" w:color="auto"/>
      </w:divBdr>
    </w:div>
    <w:div w:id="1699815156">
      <w:bodyDiv w:val="1"/>
      <w:marLeft w:val="0"/>
      <w:marRight w:val="0"/>
      <w:marTop w:val="0"/>
      <w:marBottom w:val="0"/>
      <w:divBdr>
        <w:top w:val="none" w:sz="0" w:space="0" w:color="auto"/>
        <w:left w:val="none" w:sz="0" w:space="0" w:color="auto"/>
        <w:bottom w:val="none" w:sz="0" w:space="0" w:color="auto"/>
        <w:right w:val="none" w:sz="0" w:space="0" w:color="auto"/>
      </w:divBdr>
    </w:div>
    <w:div w:id="1703091661">
      <w:bodyDiv w:val="1"/>
      <w:marLeft w:val="0"/>
      <w:marRight w:val="0"/>
      <w:marTop w:val="0"/>
      <w:marBottom w:val="0"/>
      <w:divBdr>
        <w:top w:val="none" w:sz="0" w:space="0" w:color="auto"/>
        <w:left w:val="none" w:sz="0" w:space="0" w:color="auto"/>
        <w:bottom w:val="none" w:sz="0" w:space="0" w:color="auto"/>
        <w:right w:val="none" w:sz="0" w:space="0" w:color="auto"/>
      </w:divBdr>
    </w:div>
    <w:div w:id="1709720472">
      <w:bodyDiv w:val="1"/>
      <w:marLeft w:val="0"/>
      <w:marRight w:val="0"/>
      <w:marTop w:val="0"/>
      <w:marBottom w:val="0"/>
      <w:divBdr>
        <w:top w:val="none" w:sz="0" w:space="0" w:color="auto"/>
        <w:left w:val="none" w:sz="0" w:space="0" w:color="auto"/>
        <w:bottom w:val="none" w:sz="0" w:space="0" w:color="auto"/>
        <w:right w:val="none" w:sz="0" w:space="0" w:color="auto"/>
      </w:divBdr>
    </w:div>
    <w:div w:id="1727751532">
      <w:bodyDiv w:val="1"/>
      <w:marLeft w:val="0"/>
      <w:marRight w:val="0"/>
      <w:marTop w:val="0"/>
      <w:marBottom w:val="0"/>
      <w:divBdr>
        <w:top w:val="none" w:sz="0" w:space="0" w:color="auto"/>
        <w:left w:val="none" w:sz="0" w:space="0" w:color="auto"/>
        <w:bottom w:val="none" w:sz="0" w:space="0" w:color="auto"/>
        <w:right w:val="none" w:sz="0" w:space="0" w:color="auto"/>
      </w:divBdr>
    </w:div>
    <w:div w:id="1731462861">
      <w:bodyDiv w:val="1"/>
      <w:marLeft w:val="0"/>
      <w:marRight w:val="0"/>
      <w:marTop w:val="0"/>
      <w:marBottom w:val="0"/>
      <w:divBdr>
        <w:top w:val="none" w:sz="0" w:space="0" w:color="auto"/>
        <w:left w:val="none" w:sz="0" w:space="0" w:color="auto"/>
        <w:bottom w:val="none" w:sz="0" w:space="0" w:color="auto"/>
        <w:right w:val="none" w:sz="0" w:space="0" w:color="auto"/>
      </w:divBdr>
    </w:div>
    <w:div w:id="1748378880">
      <w:bodyDiv w:val="1"/>
      <w:marLeft w:val="0"/>
      <w:marRight w:val="0"/>
      <w:marTop w:val="0"/>
      <w:marBottom w:val="0"/>
      <w:divBdr>
        <w:top w:val="none" w:sz="0" w:space="0" w:color="auto"/>
        <w:left w:val="none" w:sz="0" w:space="0" w:color="auto"/>
        <w:bottom w:val="none" w:sz="0" w:space="0" w:color="auto"/>
        <w:right w:val="none" w:sz="0" w:space="0" w:color="auto"/>
      </w:divBdr>
    </w:div>
    <w:div w:id="1763184053">
      <w:bodyDiv w:val="1"/>
      <w:marLeft w:val="0"/>
      <w:marRight w:val="0"/>
      <w:marTop w:val="0"/>
      <w:marBottom w:val="0"/>
      <w:divBdr>
        <w:top w:val="none" w:sz="0" w:space="0" w:color="auto"/>
        <w:left w:val="none" w:sz="0" w:space="0" w:color="auto"/>
        <w:bottom w:val="none" w:sz="0" w:space="0" w:color="auto"/>
        <w:right w:val="none" w:sz="0" w:space="0" w:color="auto"/>
      </w:divBdr>
    </w:div>
    <w:div w:id="1772627479">
      <w:bodyDiv w:val="1"/>
      <w:marLeft w:val="0"/>
      <w:marRight w:val="0"/>
      <w:marTop w:val="0"/>
      <w:marBottom w:val="0"/>
      <w:divBdr>
        <w:top w:val="none" w:sz="0" w:space="0" w:color="auto"/>
        <w:left w:val="none" w:sz="0" w:space="0" w:color="auto"/>
        <w:bottom w:val="none" w:sz="0" w:space="0" w:color="auto"/>
        <w:right w:val="none" w:sz="0" w:space="0" w:color="auto"/>
      </w:divBdr>
    </w:div>
    <w:div w:id="1788349945">
      <w:bodyDiv w:val="1"/>
      <w:marLeft w:val="0"/>
      <w:marRight w:val="0"/>
      <w:marTop w:val="0"/>
      <w:marBottom w:val="0"/>
      <w:divBdr>
        <w:top w:val="none" w:sz="0" w:space="0" w:color="auto"/>
        <w:left w:val="none" w:sz="0" w:space="0" w:color="auto"/>
        <w:bottom w:val="none" w:sz="0" w:space="0" w:color="auto"/>
        <w:right w:val="none" w:sz="0" w:space="0" w:color="auto"/>
      </w:divBdr>
    </w:div>
    <w:div w:id="1792244632">
      <w:bodyDiv w:val="1"/>
      <w:marLeft w:val="0"/>
      <w:marRight w:val="0"/>
      <w:marTop w:val="0"/>
      <w:marBottom w:val="0"/>
      <w:divBdr>
        <w:top w:val="none" w:sz="0" w:space="0" w:color="auto"/>
        <w:left w:val="none" w:sz="0" w:space="0" w:color="auto"/>
        <w:bottom w:val="none" w:sz="0" w:space="0" w:color="auto"/>
        <w:right w:val="none" w:sz="0" w:space="0" w:color="auto"/>
      </w:divBdr>
    </w:div>
    <w:div w:id="1793983049">
      <w:bodyDiv w:val="1"/>
      <w:marLeft w:val="0"/>
      <w:marRight w:val="0"/>
      <w:marTop w:val="0"/>
      <w:marBottom w:val="0"/>
      <w:divBdr>
        <w:top w:val="none" w:sz="0" w:space="0" w:color="auto"/>
        <w:left w:val="none" w:sz="0" w:space="0" w:color="auto"/>
        <w:bottom w:val="none" w:sz="0" w:space="0" w:color="auto"/>
        <w:right w:val="none" w:sz="0" w:space="0" w:color="auto"/>
      </w:divBdr>
    </w:div>
    <w:div w:id="1795635355">
      <w:bodyDiv w:val="1"/>
      <w:marLeft w:val="0"/>
      <w:marRight w:val="0"/>
      <w:marTop w:val="0"/>
      <w:marBottom w:val="0"/>
      <w:divBdr>
        <w:top w:val="none" w:sz="0" w:space="0" w:color="auto"/>
        <w:left w:val="none" w:sz="0" w:space="0" w:color="auto"/>
        <w:bottom w:val="none" w:sz="0" w:space="0" w:color="auto"/>
        <w:right w:val="none" w:sz="0" w:space="0" w:color="auto"/>
      </w:divBdr>
    </w:div>
    <w:div w:id="1807041785">
      <w:bodyDiv w:val="1"/>
      <w:marLeft w:val="0"/>
      <w:marRight w:val="0"/>
      <w:marTop w:val="0"/>
      <w:marBottom w:val="0"/>
      <w:divBdr>
        <w:top w:val="none" w:sz="0" w:space="0" w:color="auto"/>
        <w:left w:val="none" w:sz="0" w:space="0" w:color="auto"/>
        <w:bottom w:val="none" w:sz="0" w:space="0" w:color="auto"/>
        <w:right w:val="none" w:sz="0" w:space="0" w:color="auto"/>
      </w:divBdr>
      <w:divsChild>
        <w:div w:id="928539597">
          <w:marLeft w:val="547"/>
          <w:marRight w:val="0"/>
          <w:marTop w:val="0"/>
          <w:marBottom w:val="0"/>
          <w:divBdr>
            <w:top w:val="none" w:sz="0" w:space="0" w:color="auto"/>
            <w:left w:val="none" w:sz="0" w:space="0" w:color="auto"/>
            <w:bottom w:val="none" w:sz="0" w:space="0" w:color="auto"/>
            <w:right w:val="none" w:sz="0" w:space="0" w:color="auto"/>
          </w:divBdr>
        </w:div>
        <w:div w:id="357782397">
          <w:marLeft w:val="547"/>
          <w:marRight w:val="0"/>
          <w:marTop w:val="0"/>
          <w:marBottom w:val="0"/>
          <w:divBdr>
            <w:top w:val="none" w:sz="0" w:space="0" w:color="auto"/>
            <w:left w:val="none" w:sz="0" w:space="0" w:color="auto"/>
            <w:bottom w:val="none" w:sz="0" w:space="0" w:color="auto"/>
            <w:right w:val="none" w:sz="0" w:space="0" w:color="auto"/>
          </w:divBdr>
        </w:div>
        <w:div w:id="863205025">
          <w:marLeft w:val="547"/>
          <w:marRight w:val="0"/>
          <w:marTop w:val="0"/>
          <w:marBottom w:val="0"/>
          <w:divBdr>
            <w:top w:val="none" w:sz="0" w:space="0" w:color="auto"/>
            <w:left w:val="none" w:sz="0" w:space="0" w:color="auto"/>
            <w:bottom w:val="none" w:sz="0" w:space="0" w:color="auto"/>
            <w:right w:val="none" w:sz="0" w:space="0" w:color="auto"/>
          </w:divBdr>
        </w:div>
        <w:div w:id="1607809828">
          <w:marLeft w:val="446"/>
          <w:marRight w:val="0"/>
          <w:marTop w:val="0"/>
          <w:marBottom w:val="0"/>
          <w:divBdr>
            <w:top w:val="none" w:sz="0" w:space="0" w:color="auto"/>
            <w:left w:val="none" w:sz="0" w:space="0" w:color="auto"/>
            <w:bottom w:val="none" w:sz="0" w:space="0" w:color="auto"/>
            <w:right w:val="none" w:sz="0" w:space="0" w:color="auto"/>
          </w:divBdr>
        </w:div>
      </w:divsChild>
    </w:div>
    <w:div w:id="1816988424">
      <w:bodyDiv w:val="1"/>
      <w:marLeft w:val="0"/>
      <w:marRight w:val="0"/>
      <w:marTop w:val="0"/>
      <w:marBottom w:val="0"/>
      <w:divBdr>
        <w:top w:val="none" w:sz="0" w:space="0" w:color="auto"/>
        <w:left w:val="none" w:sz="0" w:space="0" w:color="auto"/>
        <w:bottom w:val="none" w:sz="0" w:space="0" w:color="auto"/>
        <w:right w:val="none" w:sz="0" w:space="0" w:color="auto"/>
      </w:divBdr>
    </w:div>
    <w:div w:id="1879315252">
      <w:bodyDiv w:val="1"/>
      <w:marLeft w:val="0"/>
      <w:marRight w:val="0"/>
      <w:marTop w:val="0"/>
      <w:marBottom w:val="0"/>
      <w:divBdr>
        <w:top w:val="none" w:sz="0" w:space="0" w:color="auto"/>
        <w:left w:val="none" w:sz="0" w:space="0" w:color="auto"/>
        <w:bottom w:val="none" w:sz="0" w:space="0" w:color="auto"/>
        <w:right w:val="none" w:sz="0" w:space="0" w:color="auto"/>
      </w:divBdr>
    </w:div>
    <w:div w:id="1885091386">
      <w:bodyDiv w:val="1"/>
      <w:marLeft w:val="0"/>
      <w:marRight w:val="0"/>
      <w:marTop w:val="0"/>
      <w:marBottom w:val="0"/>
      <w:divBdr>
        <w:top w:val="none" w:sz="0" w:space="0" w:color="auto"/>
        <w:left w:val="none" w:sz="0" w:space="0" w:color="auto"/>
        <w:bottom w:val="none" w:sz="0" w:space="0" w:color="auto"/>
        <w:right w:val="none" w:sz="0" w:space="0" w:color="auto"/>
      </w:divBdr>
    </w:div>
    <w:div w:id="1899586594">
      <w:bodyDiv w:val="1"/>
      <w:marLeft w:val="0"/>
      <w:marRight w:val="0"/>
      <w:marTop w:val="0"/>
      <w:marBottom w:val="0"/>
      <w:divBdr>
        <w:top w:val="none" w:sz="0" w:space="0" w:color="auto"/>
        <w:left w:val="none" w:sz="0" w:space="0" w:color="auto"/>
        <w:bottom w:val="none" w:sz="0" w:space="0" w:color="auto"/>
        <w:right w:val="none" w:sz="0" w:space="0" w:color="auto"/>
      </w:divBdr>
    </w:div>
    <w:div w:id="1911766054">
      <w:bodyDiv w:val="1"/>
      <w:marLeft w:val="0"/>
      <w:marRight w:val="0"/>
      <w:marTop w:val="0"/>
      <w:marBottom w:val="0"/>
      <w:divBdr>
        <w:top w:val="none" w:sz="0" w:space="0" w:color="auto"/>
        <w:left w:val="none" w:sz="0" w:space="0" w:color="auto"/>
        <w:bottom w:val="none" w:sz="0" w:space="0" w:color="auto"/>
        <w:right w:val="none" w:sz="0" w:space="0" w:color="auto"/>
      </w:divBdr>
    </w:div>
    <w:div w:id="1912546857">
      <w:bodyDiv w:val="1"/>
      <w:marLeft w:val="0"/>
      <w:marRight w:val="0"/>
      <w:marTop w:val="0"/>
      <w:marBottom w:val="0"/>
      <w:divBdr>
        <w:top w:val="none" w:sz="0" w:space="0" w:color="auto"/>
        <w:left w:val="none" w:sz="0" w:space="0" w:color="auto"/>
        <w:bottom w:val="none" w:sz="0" w:space="0" w:color="auto"/>
        <w:right w:val="none" w:sz="0" w:space="0" w:color="auto"/>
      </w:divBdr>
    </w:div>
    <w:div w:id="1917088792">
      <w:bodyDiv w:val="1"/>
      <w:marLeft w:val="0"/>
      <w:marRight w:val="0"/>
      <w:marTop w:val="0"/>
      <w:marBottom w:val="0"/>
      <w:divBdr>
        <w:top w:val="none" w:sz="0" w:space="0" w:color="auto"/>
        <w:left w:val="none" w:sz="0" w:space="0" w:color="auto"/>
        <w:bottom w:val="none" w:sz="0" w:space="0" w:color="auto"/>
        <w:right w:val="none" w:sz="0" w:space="0" w:color="auto"/>
      </w:divBdr>
    </w:div>
    <w:div w:id="1948195131">
      <w:bodyDiv w:val="1"/>
      <w:marLeft w:val="0"/>
      <w:marRight w:val="0"/>
      <w:marTop w:val="0"/>
      <w:marBottom w:val="0"/>
      <w:divBdr>
        <w:top w:val="none" w:sz="0" w:space="0" w:color="auto"/>
        <w:left w:val="none" w:sz="0" w:space="0" w:color="auto"/>
        <w:bottom w:val="none" w:sz="0" w:space="0" w:color="auto"/>
        <w:right w:val="none" w:sz="0" w:space="0" w:color="auto"/>
      </w:divBdr>
      <w:divsChild>
        <w:div w:id="147135014">
          <w:marLeft w:val="446"/>
          <w:marRight w:val="0"/>
          <w:marTop w:val="0"/>
          <w:marBottom w:val="0"/>
          <w:divBdr>
            <w:top w:val="none" w:sz="0" w:space="0" w:color="auto"/>
            <w:left w:val="none" w:sz="0" w:space="0" w:color="auto"/>
            <w:bottom w:val="none" w:sz="0" w:space="0" w:color="auto"/>
            <w:right w:val="none" w:sz="0" w:space="0" w:color="auto"/>
          </w:divBdr>
        </w:div>
        <w:div w:id="1304040479">
          <w:marLeft w:val="446"/>
          <w:marRight w:val="0"/>
          <w:marTop w:val="0"/>
          <w:marBottom w:val="0"/>
          <w:divBdr>
            <w:top w:val="none" w:sz="0" w:space="0" w:color="auto"/>
            <w:left w:val="none" w:sz="0" w:space="0" w:color="auto"/>
            <w:bottom w:val="none" w:sz="0" w:space="0" w:color="auto"/>
            <w:right w:val="none" w:sz="0" w:space="0" w:color="auto"/>
          </w:divBdr>
        </w:div>
        <w:div w:id="1103650831">
          <w:marLeft w:val="446"/>
          <w:marRight w:val="0"/>
          <w:marTop w:val="0"/>
          <w:marBottom w:val="0"/>
          <w:divBdr>
            <w:top w:val="none" w:sz="0" w:space="0" w:color="auto"/>
            <w:left w:val="none" w:sz="0" w:space="0" w:color="auto"/>
            <w:bottom w:val="none" w:sz="0" w:space="0" w:color="auto"/>
            <w:right w:val="none" w:sz="0" w:space="0" w:color="auto"/>
          </w:divBdr>
        </w:div>
        <w:div w:id="621040078">
          <w:marLeft w:val="446"/>
          <w:marRight w:val="0"/>
          <w:marTop w:val="0"/>
          <w:marBottom w:val="0"/>
          <w:divBdr>
            <w:top w:val="none" w:sz="0" w:space="0" w:color="auto"/>
            <w:left w:val="none" w:sz="0" w:space="0" w:color="auto"/>
            <w:bottom w:val="none" w:sz="0" w:space="0" w:color="auto"/>
            <w:right w:val="none" w:sz="0" w:space="0" w:color="auto"/>
          </w:divBdr>
        </w:div>
      </w:divsChild>
    </w:div>
    <w:div w:id="1955822979">
      <w:bodyDiv w:val="1"/>
      <w:marLeft w:val="0"/>
      <w:marRight w:val="0"/>
      <w:marTop w:val="0"/>
      <w:marBottom w:val="0"/>
      <w:divBdr>
        <w:top w:val="none" w:sz="0" w:space="0" w:color="auto"/>
        <w:left w:val="none" w:sz="0" w:space="0" w:color="auto"/>
        <w:bottom w:val="none" w:sz="0" w:space="0" w:color="auto"/>
        <w:right w:val="none" w:sz="0" w:space="0" w:color="auto"/>
      </w:divBdr>
    </w:div>
    <w:div w:id="1982730594">
      <w:bodyDiv w:val="1"/>
      <w:marLeft w:val="0"/>
      <w:marRight w:val="0"/>
      <w:marTop w:val="0"/>
      <w:marBottom w:val="0"/>
      <w:divBdr>
        <w:top w:val="none" w:sz="0" w:space="0" w:color="auto"/>
        <w:left w:val="none" w:sz="0" w:space="0" w:color="auto"/>
        <w:bottom w:val="none" w:sz="0" w:space="0" w:color="auto"/>
        <w:right w:val="none" w:sz="0" w:space="0" w:color="auto"/>
      </w:divBdr>
    </w:div>
    <w:div w:id="1986349596">
      <w:bodyDiv w:val="1"/>
      <w:marLeft w:val="0"/>
      <w:marRight w:val="0"/>
      <w:marTop w:val="0"/>
      <w:marBottom w:val="0"/>
      <w:divBdr>
        <w:top w:val="none" w:sz="0" w:space="0" w:color="auto"/>
        <w:left w:val="none" w:sz="0" w:space="0" w:color="auto"/>
        <w:bottom w:val="none" w:sz="0" w:space="0" w:color="auto"/>
        <w:right w:val="none" w:sz="0" w:space="0" w:color="auto"/>
      </w:divBdr>
    </w:div>
    <w:div w:id="1991861240">
      <w:bodyDiv w:val="1"/>
      <w:marLeft w:val="0"/>
      <w:marRight w:val="0"/>
      <w:marTop w:val="0"/>
      <w:marBottom w:val="0"/>
      <w:divBdr>
        <w:top w:val="none" w:sz="0" w:space="0" w:color="auto"/>
        <w:left w:val="none" w:sz="0" w:space="0" w:color="auto"/>
        <w:bottom w:val="none" w:sz="0" w:space="0" w:color="auto"/>
        <w:right w:val="none" w:sz="0" w:space="0" w:color="auto"/>
      </w:divBdr>
    </w:div>
    <w:div w:id="2033266645">
      <w:bodyDiv w:val="1"/>
      <w:marLeft w:val="0"/>
      <w:marRight w:val="0"/>
      <w:marTop w:val="0"/>
      <w:marBottom w:val="0"/>
      <w:divBdr>
        <w:top w:val="none" w:sz="0" w:space="0" w:color="auto"/>
        <w:left w:val="none" w:sz="0" w:space="0" w:color="auto"/>
        <w:bottom w:val="none" w:sz="0" w:space="0" w:color="auto"/>
        <w:right w:val="none" w:sz="0" w:space="0" w:color="auto"/>
      </w:divBdr>
    </w:div>
    <w:div w:id="2035574177">
      <w:bodyDiv w:val="1"/>
      <w:marLeft w:val="0"/>
      <w:marRight w:val="0"/>
      <w:marTop w:val="0"/>
      <w:marBottom w:val="0"/>
      <w:divBdr>
        <w:top w:val="none" w:sz="0" w:space="0" w:color="auto"/>
        <w:left w:val="none" w:sz="0" w:space="0" w:color="auto"/>
        <w:bottom w:val="none" w:sz="0" w:space="0" w:color="auto"/>
        <w:right w:val="none" w:sz="0" w:space="0" w:color="auto"/>
      </w:divBdr>
      <w:divsChild>
        <w:div w:id="1656107265">
          <w:marLeft w:val="418"/>
          <w:marRight w:val="0"/>
          <w:marTop w:val="0"/>
          <w:marBottom w:val="0"/>
          <w:divBdr>
            <w:top w:val="none" w:sz="0" w:space="0" w:color="auto"/>
            <w:left w:val="none" w:sz="0" w:space="0" w:color="auto"/>
            <w:bottom w:val="none" w:sz="0" w:space="0" w:color="auto"/>
            <w:right w:val="none" w:sz="0" w:space="0" w:color="auto"/>
          </w:divBdr>
        </w:div>
      </w:divsChild>
    </w:div>
    <w:div w:id="2045984619">
      <w:bodyDiv w:val="1"/>
      <w:marLeft w:val="0"/>
      <w:marRight w:val="0"/>
      <w:marTop w:val="0"/>
      <w:marBottom w:val="0"/>
      <w:divBdr>
        <w:top w:val="none" w:sz="0" w:space="0" w:color="auto"/>
        <w:left w:val="none" w:sz="0" w:space="0" w:color="auto"/>
        <w:bottom w:val="none" w:sz="0" w:space="0" w:color="auto"/>
        <w:right w:val="none" w:sz="0" w:space="0" w:color="auto"/>
      </w:divBdr>
    </w:div>
    <w:div w:id="2058045896">
      <w:bodyDiv w:val="1"/>
      <w:marLeft w:val="0"/>
      <w:marRight w:val="0"/>
      <w:marTop w:val="0"/>
      <w:marBottom w:val="0"/>
      <w:divBdr>
        <w:top w:val="none" w:sz="0" w:space="0" w:color="auto"/>
        <w:left w:val="none" w:sz="0" w:space="0" w:color="auto"/>
        <w:bottom w:val="none" w:sz="0" w:space="0" w:color="auto"/>
        <w:right w:val="none" w:sz="0" w:space="0" w:color="auto"/>
      </w:divBdr>
    </w:div>
    <w:div w:id="2080470893">
      <w:bodyDiv w:val="1"/>
      <w:marLeft w:val="0"/>
      <w:marRight w:val="0"/>
      <w:marTop w:val="0"/>
      <w:marBottom w:val="0"/>
      <w:divBdr>
        <w:top w:val="none" w:sz="0" w:space="0" w:color="auto"/>
        <w:left w:val="none" w:sz="0" w:space="0" w:color="auto"/>
        <w:bottom w:val="none" w:sz="0" w:space="0" w:color="auto"/>
        <w:right w:val="none" w:sz="0" w:space="0" w:color="auto"/>
      </w:divBdr>
    </w:div>
    <w:div w:id="2094474270">
      <w:bodyDiv w:val="1"/>
      <w:marLeft w:val="0"/>
      <w:marRight w:val="0"/>
      <w:marTop w:val="0"/>
      <w:marBottom w:val="0"/>
      <w:divBdr>
        <w:top w:val="none" w:sz="0" w:space="0" w:color="auto"/>
        <w:left w:val="none" w:sz="0" w:space="0" w:color="auto"/>
        <w:bottom w:val="none" w:sz="0" w:space="0" w:color="auto"/>
        <w:right w:val="none" w:sz="0" w:space="0" w:color="auto"/>
      </w:divBdr>
    </w:div>
    <w:div w:id="21081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investinpodgorica.com" TargetMode="External"/><Relationship Id="rId17" Type="http://schemas.openxmlformats.org/officeDocument/2006/relationships/chart" Target="charts/chart6.xml"/><Relationship Id="rId25" Type="http://schemas.openxmlformats.org/officeDocument/2006/relationships/image" Target="media/image10.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8.png"/><Relationship Id="rId28"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esp.me/wp-content/uploads/2020/06/analiza-lokalnih-trzista.pdf" TargetMode="Externa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ps.gov.me/rubrike/obrazovanje-odrasli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Podgorica\GRAFICI%20PODGOR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Podgorica\GRAFICI%20PODGORI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Podgorica\GRAFICI%20PODGORIC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Podgorica\GRAFICI%20PODGORIC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Podgorica\GRAFICI%20PODGORIC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eri\Desktop\MNE%205.3.2020\PROJECT%20IMPLEMENTATION\COMPONENT%202\Act%202.2%20Local%20employment%20strategies%20and%20action%20plans\Podgorica\GRAFICI%20PODGORIC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orisnik\Desktop\STRATEGIJE\GRAFICI%20PODGOR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solidFill>
              <a:schemeClr val="accent1"/>
            </a:solidFill>
            <a:ln>
              <a:noFill/>
            </a:ln>
            <a:effectLst/>
          </c:spPr>
          <c:dLbls>
            <c:dLbl>
              <c:idx val="0"/>
              <c:tx>
                <c:rich>
                  <a:bodyPr/>
                  <a:lstStyle/>
                  <a:p>
                    <a:r>
                      <a:rPr lang="en-US"/>
                      <a:t>185.953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CB8-4AE6-893C-D3EE6918A0F3}"/>
                </c:ext>
              </c:extLst>
            </c:dLbl>
            <c:dLbl>
              <c:idx val="1"/>
              <c:tx>
                <c:rich>
                  <a:bodyPr/>
                  <a:lstStyle/>
                  <a:p>
                    <a:r>
                      <a:rPr lang="en-US"/>
                      <a:t>187.911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CB8-4AE6-893C-D3EE6918A0F3}"/>
                </c:ext>
              </c:extLst>
            </c:dLbl>
            <c:dLbl>
              <c:idx val="2"/>
              <c:tx>
                <c:rich>
                  <a:bodyPr/>
                  <a:lstStyle/>
                  <a:p>
                    <a:r>
                      <a:rPr lang="en-US"/>
                      <a:t>190.183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CB8-4AE6-893C-D3EE6918A0F3}"/>
                </c:ext>
              </c:extLst>
            </c:dLbl>
            <c:dLbl>
              <c:idx val="3"/>
              <c:tx>
                <c:rich>
                  <a:bodyPr/>
                  <a:lstStyle/>
                  <a:p>
                    <a:r>
                      <a:rPr lang="en-US"/>
                      <a:t>192.225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CB8-4AE6-893C-D3EE6918A0F3}"/>
                </c:ext>
              </c:extLst>
            </c:dLbl>
            <c:dLbl>
              <c:idx val="4"/>
              <c:tx>
                <c:rich>
                  <a:bodyPr/>
                  <a:lstStyle/>
                  <a:p>
                    <a:r>
                      <a:rPr lang="en-US"/>
                      <a:t>194.022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ECB8-4AE6-893C-D3EE6918A0F3}"/>
                </c:ext>
              </c:extLst>
            </c:dLbl>
            <c:dLbl>
              <c:idx val="5"/>
              <c:tx>
                <c:rich>
                  <a:bodyPr/>
                  <a:lstStyle/>
                  <a:p>
                    <a:r>
                      <a:rPr lang="en-US"/>
                      <a:t>195.718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ECB8-4AE6-893C-D3EE6918A0F3}"/>
                </c:ext>
              </c:extLst>
            </c:dLbl>
            <c:dLbl>
              <c:idx val="6"/>
              <c:tx>
                <c:rich>
                  <a:bodyPr/>
                  <a:lstStyle/>
                  <a:p>
                    <a:r>
                      <a:rPr lang="en-US"/>
                      <a:t>197.589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ECB8-4AE6-893C-D3EE6918A0F3}"/>
                </c:ext>
              </c:extLst>
            </c:dLbl>
            <c:dLbl>
              <c:idx val="7"/>
              <c:tx>
                <c:rich>
                  <a:bodyPr/>
                  <a:lstStyle/>
                  <a:p>
                    <a:r>
                      <a:rPr lang="en-US"/>
                      <a:t>199.715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ECB8-4AE6-893C-D3EE6918A0F3}"/>
                </c:ext>
              </c:extLst>
            </c:dLbl>
            <c:dLbl>
              <c:idx val="8"/>
              <c:tx>
                <c:rich>
                  <a:bodyPr/>
                  <a:lstStyle/>
                  <a:p>
                    <a:r>
                      <a:rPr lang="en-US"/>
                      <a:t>189.260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ECB8-4AE6-893C-D3EE6918A0F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1'!$G$19:$G$27</c:f>
              <c:strCache>
                <c:ptCount val="9"/>
                <c:pt idx="0">
                  <c:v>2011.</c:v>
                </c:pt>
                <c:pt idx="1">
                  <c:v>2012.</c:v>
                </c:pt>
                <c:pt idx="2">
                  <c:v>2013.</c:v>
                </c:pt>
                <c:pt idx="3">
                  <c:v>2014.</c:v>
                </c:pt>
                <c:pt idx="4">
                  <c:v>2015.</c:v>
                </c:pt>
                <c:pt idx="5">
                  <c:v>2016.</c:v>
                </c:pt>
                <c:pt idx="6">
                  <c:v>2017.</c:v>
                </c:pt>
                <c:pt idx="7">
                  <c:v>2018.</c:v>
                </c:pt>
                <c:pt idx="8">
                  <c:v>2019.</c:v>
                </c:pt>
              </c:strCache>
            </c:strRef>
          </c:cat>
          <c:val>
            <c:numRef>
              <c:f>'PG 1'!$H$19:$H$27</c:f>
              <c:numCache>
                <c:formatCode>#,##0</c:formatCode>
                <c:ptCount val="9"/>
                <c:pt idx="0">
                  <c:v>185953</c:v>
                </c:pt>
                <c:pt idx="1">
                  <c:v>187911</c:v>
                </c:pt>
                <c:pt idx="2">
                  <c:v>190183</c:v>
                </c:pt>
                <c:pt idx="3">
                  <c:v>192225</c:v>
                </c:pt>
                <c:pt idx="4">
                  <c:v>194022</c:v>
                </c:pt>
                <c:pt idx="5">
                  <c:v>195718</c:v>
                </c:pt>
                <c:pt idx="6">
                  <c:v>197589</c:v>
                </c:pt>
                <c:pt idx="7">
                  <c:v>199715</c:v>
                </c:pt>
                <c:pt idx="8">
                  <c:v>189260</c:v>
                </c:pt>
              </c:numCache>
            </c:numRef>
          </c:val>
          <c:extLst xmlns:c16r2="http://schemas.microsoft.com/office/drawing/2015/06/chart">
            <c:ext xmlns:c16="http://schemas.microsoft.com/office/drawing/2014/chart" uri="{C3380CC4-5D6E-409C-BE32-E72D297353CC}">
              <c16:uniqueId val="{00000000-B4B1-4510-AA66-9550EE45E1C9}"/>
            </c:ext>
          </c:extLst>
        </c:ser>
        <c:gapWidth val="219"/>
        <c:overlap val="-27"/>
        <c:axId val="101255040"/>
        <c:axId val="101256576"/>
      </c:barChart>
      <c:catAx>
        <c:axId val="101255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01256576"/>
        <c:crosses val="autoZero"/>
        <c:auto val="1"/>
        <c:lblAlgn val="ctr"/>
        <c:lblOffset val="100"/>
      </c:catAx>
      <c:valAx>
        <c:axId val="101256576"/>
        <c:scaling>
          <c:orientation val="minMax"/>
        </c:scaling>
        <c:delete val="1"/>
        <c:axPos val="l"/>
        <c:numFmt formatCode="#,##0" sourceLinked="1"/>
        <c:majorTickMark val="none"/>
        <c:tickLblPos val="none"/>
        <c:crossAx val="101255040"/>
        <c:crosses val="autoZero"/>
        <c:crossBetween val="between"/>
      </c:valAx>
      <c:spPr>
        <a:noFill/>
        <a:ln>
          <a:noFill/>
        </a:ln>
        <a:effectLst/>
      </c:spPr>
    </c:plotArea>
    <c:plotVisOnly val="1"/>
    <c:dispBlanksAs val="gap"/>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bar"/>
        <c:grouping val="clustered"/>
        <c:ser>
          <c:idx val="0"/>
          <c:order val="0"/>
          <c:spPr>
            <a:solidFill>
              <a:schemeClr val="accent1"/>
            </a:solidFill>
            <a:ln>
              <a:noFill/>
            </a:ln>
            <a:effectLst/>
          </c:spPr>
          <c:dLbls>
            <c:dLbl>
              <c:idx val="0"/>
              <c:tx>
                <c:rich>
                  <a:bodyPr/>
                  <a:lstStyle/>
                  <a:p>
                    <a:r>
                      <a:rPr lang="en-US"/>
                      <a:t>21.882</a:t>
                    </a:r>
                  </a:p>
                </c:rich>
              </c:tx>
              <c:showVal val="1"/>
            </c:dLbl>
            <c:dLbl>
              <c:idx val="1"/>
              <c:tx>
                <c:rich>
                  <a:bodyPr/>
                  <a:lstStyle/>
                  <a:p>
                    <a:r>
                      <a:rPr lang="en-US"/>
                      <a:t>22.846</a:t>
                    </a:r>
                  </a:p>
                </c:rich>
              </c:tx>
              <c:showVal val="1"/>
            </c:dLbl>
            <c:dLbl>
              <c:idx val="2"/>
              <c:tx>
                <c:rich>
                  <a:bodyPr/>
                  <a:lstStyle/>
                  <a:p>
                    <a:r>
                      <a:rPr lang="en-US"/>
                      <a:t>23.090</a:t>
                    </a:r>
                  </a:p>
                </c:rich>
              </c:tx>
              <c:showVal val="1"/>
            </c:dLbl>
            <c:dLbl>
              <c:idx val="3"/>
              <c:tx>
                <c:rich>
                  <a:bodyPr/>
                  <a:lstStyle/>
                  <a:p>
                    <a:r>
                      <a:rPr lang="en-US"/>
                      <a:t>21.850</a:t>
                    </a:r>
                  </a:p>
                </c:rich>
              </c:tx>
              <c:showVal val="1"/>
            </c:dLbl>
            <c:dLbl>
              <c:idx val="4"/>
              <c:tx>
                <c:rich>
                  <a:bodyPr/>
                  <a:lstStyle/>
                  <a:p>
                    <a:r>
                      <a:rPr lang="en-US"/>
                      <a:t>22.191</a:t>
                    </a:r>
                  </a:p>
                </c:rich>
              </c:tx>
              <c:showVal val="1"/>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1'!$G$30:$G$34</c:f>
              <c:strCache>
                <c:ptCount val="5"/>
                <c:pt idx="0">
                  <c:v>2011.</c:v>
                </c:pt>
                <c:pt idx="1">
                  <c:v>2016.</c:v>
                </c:pt>
                <c:pt idx="2">
                  <c:v>2017.</c:v>
                </c:pt>
                <c:pt idx="3">
                  <c:v>2018.</c:v>
                </c:pt>
                <c:pt idx="4">
                  <c:v>2019.</c:v>
                </c:pt>
              </c:strCache>
            </c:strRef>
          </c:cat>
          <c:val>
            <c:numRef>
              <c:f>'PG 1'!$H$30:$H$34</c:f>
              <c:numCache>
                <c:formatCode>#,##0</c:formatCode>
                <c:ptCount val="5"/>
                <c:pt idx="0">
                  <c:v>21882</c:v>
                </c:pt>
                <c:pt idx="1">
                  <c:v>22846</c:v>
                </c:pt>
                <c:pt idx="2">
                  <c:v>23090</c:v>
                </c:pt>
                <c:pt idx="3">
                  <c:v>21850</c:v>
                </c:pt>
                <c:pt idx="4">
                  <c:v>22191</c:v>
                </c:pt>
              </c:numCache>
            </c:numRef>
          </c:val>
          <c:extLst xmlns:c16r2="http://schemas.microsoft.com/office/drawing/2015/06/chart">
            <c:ext xmlns:c16="http://schemas.microsoft.com/office/drawing/2014/chart" uri="{C3380CC4-5D6E-409C-BE32-E72D297353CC}">
              <c16:uniqueId val="{00000000-2140-463F-96D1-2A190BBEBA53}"/>
            </c:ext>
          </c:extLst>
        </c:ser>
        <c:gapWidth val="182"/>
        <c:axId val="101289344"/>
        <c:axId val="101311616"/>
      </c:barChart>
      <c:catAx>
        <c:axId val="1012893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01311616"/>
        <c:crosses val="autoZero"/>
        <c:auto val="1"/>
        <c:lblAlgn val="ctr"/>
        <c:lblOffset val="100"/>
      </c:catAx>
      <c:valAx>
        <c:axId val="101311616"/>
        <c:scaling>
          <c:orientation val="minMax"/>
        </c:scaling>
        <c:delete val="1"/>
        <c:axPos val="b"/>
        <c:numFmt formatCode="#,##0" sourceLinked="1"/>
        <c:majorTickMark val="none"/>
        <c:tickLblPos val="none"/>
        <c:crossAx val="1012893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spPr>
            <a:solidFill>
              <a:schemeClr val="accent1"/>
            </a:solidFill>
            <a:ln>
              <a:noFill/>
            </a:ln>
            <a:effectLst/>
          </c:spPr>
          <c:dLbls>
            <c:dLbl>
              <c:idx val="0"/>
              <c:tx>
                <c:rich>
                  <a:bodyPr/>
                  <a:lstStyle/>
                  <a:p>
                    <a:r>
                      <a:rPr lang="en-US"/>
                      <a:t>7.042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FE8-4816-A8C2-8227ECF46666}"/>
                </c:ext>
              </c:extLst>
            </c:dLbl>
            <c:dLbl>
              <c:idx val="1"/>
              <c:tx>
                <c:rich>
                  <a:bodyPr/>
                  <a:lstStyle/>
                  <a:p>
                    <a:r>
                      <a:rPr lang="en-US"/>
                      <a:t>10.333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FE8-4816-A8C2-8227ECF46666}"/>
                </c:ext>
              </c:extLst>
            </c:dLbl>
            <c:dLbl>
              <c:idx val="2"/>
              <c:tx>
                <c:rich>
                  <a:bodyPr/>
                  <a:lstStyle/>
                  <a:p>
                    <a:r>
                      <a:rPr lang="en-US"/>
                      <a:t>11.220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FE8-4816-A8C2-8227ECF46666}"/>
                </c:ext>
              </c:extLst>
            </c:dLbl>
            <c:dLbl>
              <c:idx val="3"/>
              <c:tx>
                <c:rich>
                  <a:bodyPr/>
                  <a:lstStyle/>
                  <a:p>
                    <a:r>
                      <a:rPr lang="en-US"/>
                      <a:t>12.556</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FE8-4816-A8C2-8227ECF46666}"/>
                </c:ext>
              </c:extLst>
            </c:dLbl>
            <c:dLbl>
              <c:idx val="4"/>
              <c:tx>
                <c:rich>
                  <a:bodyPr/>
                  <a:lstStyle/>
                  <a:p>
                    <a:r>
                      <a:rPr lang="en-US"/>
                      <a:t>12.565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2FE8-4816-A8C2-8227ECF4666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1'!$G$44:$G$48</c:f>
              <c:strCache>
                <c:ptCount val="5"/>
                <c:pt idx="0">
                  <c:v>2011.</c:v>
                </c:pt>
                <c:pt idx="1">
                  <c:v>2016.</c:v>
                </c:pt>
                <c:pt idx="2">
                  <c:v>2017.</c:v>
                </c:pt>
                <c:pt idx="3">
                  <c:v>2018.</c:v>
                </c:pt>
                <c:pt idx="4">
                  <c:v>2019.</c:v>
                </c:pt>
              </c:strCache>
            </c:strRef>
          </c:cat>
          <c:val>
            <c:numRef>
              <c:f>'PG 1'!$H$44:$H$48</c:f>
              <c:numCache>
                <c:formatCode>#,##0</c:formatCode>
                <c:ptCount val="5"/>
                <c:pt idx="0">
                  <c:v>7042</c:v>
                </c:pt>
                <c:pt idx="1">
                  <c:v>10333</c:v>
                </c:pt>
                <c:pt idx="2">
                  <c:v>11220</c:v>
                </c:pt>
                <c:pt idx="3">
                  <c:v>12556</c:v>
                </c:pt>
                <c:pt idx="4">
                  <c:v>12565</c:v>
                </c:pt>
              </c:numCache>
            </c:numRef>
          </c:val>
          <c:extLst xmlns:c16r2="http://schemas.microsoft.com/office/drawing/2015/06/chart">
            <c:ext xmlns:c16="http://schemas.microsoft.com/office/drawing/2014/chart" uri="{C3380CC4-5D6E-409C-BE32-E72D297353CC}">
              <c16:uniqueId val="{00000000-53A0-4561-B9E6-F4B6F2726F8C}"/>
            </c:ext>
          </c:extLst>
        </c:ser>
        <c:gapWidth val="219"/>
        <c:overlap val="-27"/>
        <c:axId val="101341440"/>
        <c:axId val="101343232"/>
      </c:barChart>
      <c:catAx>
        <c:axId val="101341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01343232"/>
        <c:crosses val="autoZero"/>
        <c:auto val="1"/>
        <c:lblAlgn val="ctr"/>
        <c:lblOffset val="100"/>
      </c:catAx>
      <c:valAx>
        <c:axId val="101343232"/>
        <c:scaling>
          <c:orientation val="minMax"/>
        </c:scaling>
        <c:delete val="1"/>
        <c:axPos val="l"/>
        <c:numFmt formatCode="#,##0" sourceLinked="1"/>
        <c:majorTickMark val="none"/>
        <c:tickLblPos val="none"/>
        <c:crossAx val="101341440"/>
        <c:crosses val="autoZero"/>
        <c:crossBetween val="between"/>
      </c:valAx>
      <c:spPr>
        <a:noFill/>
        <a:ln>
          <a:noFill/>
        </a:ln>
        <a:effectLst/>
      </c:spPr>
    </c:plotArea>
    <c:plotVisOnly val="1"/>
    <c:dispBlanksAs val="gap"/>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spPr>
            <a:solidFill>
              <a:schemeClr val="accent1"/>
            </a:solidFill>
            <a:ln>
              <a:noFill/>
            </a:ln>
            <a:effectLst/>
          </c:spPr>
          <c:dLbls>
            <c:dLbl>
              <c:idx val="0"/>
              <c:tx>
                <c:rich>
                  <a:bodyPr/>
                  <a:lstStyle/>
                  <a:p>
                    <a:r>
                      <a:rPr lang="en-US"/>
                      <a:t>68.146</a:t>
                    </a:r>
                  </a:p>
                </c:rich>
              </c:tx>
              <c:showVal val="1"/>
            </c:dLbl>
            <c:dLbl>
              <c:idx val="1"/>
              <c:tx>
                <c:rich>
                  <a:bodyPr/>
                  <a:lstStyle/>
                  <a:p>
                    <a:r>
                      <a:rPr lang="en-US"/>
                      <a:t>81.677</a:t>
                    </a:r>
                  </a:p>
                </c:rich>
              </c:tx>
              <c:showVal val="1"/>
            </c:dLbl>
            <c:dLbl>
              <c:idx val="2"/>
              <c:tx>
                <c:rich>
                  <a:bodyPr/>
                  <a:lstStyle/>
                  <a:p>
                    <a:r>
                      <a:rPr lang="en-US"/>
                      <a:t>84.641</a:t>
                    </a:r>
                  </a:p>
                </c:rich>
              </c:tx>
              <c:showVal val="1"/>
            </c:dLbl>
            <c:dLbl>
              <c:idx val="3"/>
              <c:tx>
                <c:rich>
                  <a:bodyPr/>
                  <a:lstStyle/>
                  <a:p>
                    <a:r>
                      <a:rPr lang="en-US"/>
                      <a:t>88.694</a:t>
                    </a:r>
                  </a:p>
                </c:rich>
              </c:tx>
              <c:showVal val="1"/>
            </c:dLbl>
            <c:dLbl>
              <c:idx val="4"/>
              <c:tx>
                <c:rich>
                  <a:bodyPr/>
                  <a:lstStyle/>
                  <a:p>
                    <a:r>
                      <a:rPr lang="en-US"/>
                      <a:t>93.762</a:t>
                    </a:r>
                  </a:p>
                </c:rich>
              </c:tx>
              <c:showVal val="1"/>
            </c:dLbl>
            <c:dLbl>
              <c:idx val="5"/>
              <c:tx>
                <c:rich>
                  <a:bodyPr/>
                  <a:lstStyle/>
                  <a:p>
                    <a:r>
                      <a:rPr lang="en-US"/>
                      <a:t>82.298</a:t>
                    </a:r>
                  </a:p>
                </c:rich>
              </c:tx>
              <c:showVal val="1"/>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2'!$C$5:$C$10</c:f>
              <c:strCache>
                <c:ptCount val="6"/>
                <c:pt idx="0">
                  <c:v>2011.</c:v>
                </c:pt>
                <c:pt idx="1">
                  <c:v>2016.</c:v>
                </c:pt>
                <c:pt idx="2">
                  <c:v>2017.</c:v>
                </c:pt>
                <c:pt idx="3">
                  <c:v>2018.</c:v>
                </c:pt>
                <c:pt idx="4">
                  <c:v>2019.</c:v>
                </c:pt>
                <c:pt idx="5">
                  <c:v>VI 2020.</c:v>
                </c:pt>
              </c:strCache>
            </c:strRef>
          </c:cat>
          <c:val>
            <c:numRef>
              <c:f>'PG 2'!$D$5:$D$10</c:f>
              <c:numCache>
                <c:formatCode>#,##0</c:formatCode>
                <c:ptCount val="6"/>
                <c:pt idx="0">
                  <c:v>68146</c:v>
                </c:pt>
                <c:pt idx="1">
                  <c:v>81677</c:v>
                </c:pt>
                <c:pt idx="2">
                  <c:v>84641</c:v>
                </c:pt>
                <c:pt idx="3">
                  <c:v>88694</c:v>
                </c:pt>
                <c:pt idx="4">
                  <c:v>93762</c:v>
                </c:pt>
                <c:pt idx="5">
                  <c:v>82298</c:v>
                </c:pt>
              </c:numCache>
            </c:numRef>
          </c:val>
          <c:extLst xmlns:c16r2="http://schemas.microsoft.com/office/drawing/2015/06/chart">
            <c:ext xmlns:c16="http://schemas.microsoft.com/office/drawing/2014/chart" uri="{C3380CC4-5D6E-409C-BE32-E72D297353CC}">
              <c16:uniqueId val="{00000000-7D07-46C1-988C-3F50A42C029D}"/>
            </c:ext>
          </c:extLst>
        </c:ser>
        <c:gapWidth val="219"/>
        <c:overlap val="-27"/>
        <c:axId val="101354880"/>
        <c:axId val="101397632"/>
      </c:barChart>
      <c:catAx>
        <c:axId val="101354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01397632"/>
        <c:crosses val="autoZero"/>
        <c:auto val="1"/>
        <c:lblAlgn val="ctr"/>
        <c:lblOffset val="100"/>
      </c:catAx>
      <c:valAx>
        <c:axId val="101397632"/>
        <c:scaling>
          <c:orientation val="minMax"/>
        </c:scaling>
        <c:delete val="1"/>
        <c:axPos val="l"/>
        <c:numFmt formatCode="#,##0" sourceLinked="1"/>
        <c:majorTickMark val="none"/>
        <c:tickLblPos val="none"/>
        <c:crossAx val="101354880"/>
        <c:crosses val="autoZero"/>
        <c:crossBetween val="between"/>
      </c:valAx>
      <c:spPr>
        <a:noFill/>
        <a:ln>
          <a:noFill/>
        </a:ln>
        <a:effectLst/>
      </c:spPr>
    </c:plotArea>
    <c:plotVisOnly val="1"/>
    <c:dispBlanksAs val="gap"/>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'PG 2'!$C$38</c:f>
              <c:strCache>
                <c:ptCount val="1"/>
                <c:pt idx="0">
                  <c:v>Broj penzionera</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2'!$D$37:$G$37</c:f>
              <c:strCache>
                <c:ptCount val="4"/>
                <c:pt idx="0">
                  <c:v>2011.</c:v>
                </c:pt>
                <c:pt idx="1">
                  <c:v>2016.</c:v>
                </c:pt>
                <c:pt idx="2">
                  <c:v>2018.</c:v>
                </c:pt>
                <c:pt idx="3">
                  <c:v>2019.</c:v>
                </c:pt>
              </c:strCache>
            </c:strRef>
          </c:cat>
          <c:val>
            <c:numRef>
              <c:f>'PG 2'!$D$38:$G$38</c:f>
              <c:numCache>
                <c:formatCode>#,##0</c:formatCode>
                <c:ptCount val="4"/>
                <c:pt idx="0">
                  <c:v>29639</c:v>
                </c:pt>
                <c:pt idx="1">
                  <c:v>31668</c:v>
                </c:pt>
                <c:pt idx="2">
                  <c:v>33477</c:v>
                </c:pt>
                <c:pt idx="3">
                  <c:v>33616</c:v>
                </c:pt>
              </c:numCache>
            </c:numRef>
          </c:val>
          <c:extLst xmlns:c16r2="http://schemas.microsoft.com/office/drawing/2015/06/chart">
            <c:ext xmlns:c16="http://schemas.microsoft.com/office/drawing/2014/chart" uri="{C3380CC4-5D6E-409C-BE32-E72D297353CC}">
              <c16:uniqueId val="{00000000-F6CA-44B3-8D0B-36083F9F35AD}"/>
            </c:ext>
          </c:extLst>
        </c:ser>
        <c:ser>
          <c:idx val="1"/>
          <c:order val="1"/>
          <c:tx>
            <c:strRef>
              <c:f>'PG 2'!$C$39</c:f>
              <c:strCache>
                <c:ptCount val="1"/>
                <c:pt idx="0">
                  <c:v>Broj zaposlenih </c:v>
                </c:pt>
              </c:strCache>
            </c:strRef>
          </c:tx>
          <c:spPr>
            <a:solidFill>
              <a:schemeClr val="accent4">
                <a:lumMod val="60000"/>
                <a:lumOff val="40000"/>
              </a:schemeClr>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2'!$D$37:$G$37</c:f>
              <c:strCache>
                <c:ptCount val="4"/>
                <c:pt idx="0">
                  <c:v>2011.</c:v>
                </c:pt>
                <c:pt idx="1">
                  <c:v>2016.</c:v>
                </c:pt>
                <c:pt idx="2">
                  <c:v>2018.</c:v>
                </c:pt>
                <c:pt idx="3">
                  <c:v>2019.</c:v>
                </c:pt>
              </c:strCache>
            </c:strRef>
          </c:cat>
          <c:val>
            <c:numRef>
              <c:f>'PG 2'!$D$39:$G$39</c:f>
              <c:numCache>
                <c:formatCode>#,##0</c:formatCode>
                <c:ptCount val="4"/>
                <c:pt idx="0">
                  <c:v>68146</c:v>
                </c:pt>
                <c:pt idx="1">
                  <c:v>81677</c:v>
                </c:pt>
                <c:pt idx="2">
                  <c:v>88694</c:v>
                </c:pt>
                <c:pt idx="3">
                  <c:v>93762</c:v>
                </c:pt>
              </c:numCache>
            </c:numRef>
          </c:val>
          <c:extLst xmlns:c16r2="http://schemas.microsoft.com/office/drawing/2015/06/chart">
            <c:ext xmlns:c16="http://schemas.microsoft.com/office/drawing/2014/chart" uri="{C3380CC4-5D6E-409C-BE32-E72D297353CC}">
              <c16:uniqueId val="{00000001-F6CA-44B3-8D0B-36083F9F35AD}"/>
            </c:ext>
          </c:extLst>
        </c:ser>
        <c:gapWidth val="219"/>
        <c:overlap val="-27"/>
        <c:axId val="101419264"/>
        <c:axId val="101433344"/>
      </c:barChart>
      <c:catAx>
        <c:axId val="101419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01433344"/>
        <c:crosses val="autoZero"/>
        <c:auto val="1"/>
        <c:lblAlgn val="ctr"/>
        <c:lblOffset val="100"/>
      </c:catAx>
      <c:valAx>
        <c:axId val="101433344"/>
        <c:scaling>
          <c:orientation val="minMax"/>
        </c:scaling>
        <c:delete val="1"/>
        <c:axPos val="l"/>
        <c:numFmt formatCode="#,##0" sourceLinked="1"/>
        <c:majorTickMark val="none"/>
        <c:tickLblPos val="none"/>
        <c:crossAx val="1014192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'PG 2'!$B$55</c:f>
              <c:strCache>
                <c:ptCount val="1"/>
                <c:pt idx="0">
                  <c:v>Broj nezaposlenih </c:v>
                </c:pt>
              </c:strCache>
            </c:strRef>
          </c:tx>
          <c:spPr>
            <a:solidFill>
              <a:schemeClr val="accent1"/>
            </a:solidFill>
            <a:ln>
              <a:noFill/>
            </a:ln>
            <a:effectLst/>
          </c:spPr>
          <c:dLbls>
            <c:dLbl>
              <c:idx val="0"/>
              <c:tx>
                <c:rich>
                  <a:bodyPr/>
                  <a:lstStyle/>
                  <a:p>
                    <a:r>
                      <a:rPr lang="en-US"/>
                      <a:t>7.296</a:t>
                    </a:r>
                  </a:p>
                </c:rich>
              </c:tx>
              <c:showVal val="1"/>
            </c:dLbl>
            <c:dLbl>
              <c:idx val="1"/>
              <c:tx>
                <c:rich>
                  <a:bodyPr/>
                  <a:lstStyle/>
                  <a:p>
                    <a:r>
                      <a:rPr lang="en-US"/>
                      <a:t>11.934</a:t>
                    </a:r>
                  </a:p>
                </c:rich>
              </c:tx>
              <c:showVal val="1"/>
            </c:dLbl>
            <c:dLbl>
              <c:idx val="2"/>
              <c:tx>
                <c:rich>
                  <a:bodyPr/>
                  <a:lstStyle/>
                  <a:p>
                    <a:r>
                      <a:rPr lang="en-US"/>
                      <a:t>11.732</a:t>
                    </a:r>
                  </a:p>
                </c:rich>
              </c:tx>
              <c:showVal val="1"/>
            </c:dLbl>
            <c:dLbl>
              <c:idx val="3"/>
              <c:tx>
                <c:rich>
                  <a:bodyPr/>
                  <a:lstStyle/>
                  <a:p>
                    <a:r>
                      <a:rPr lang="en-US"/>
                      <a:t>7.980</a:t>
                    </a:r>
                  </a:p>
                </c:rich>
              </c:tx>
              <c:showVal val="1"/>
            </c:dLbl>
            <c:dLbl>
              <c:idx val="4"/>
              <c:tx>
                <c:rich>
                  <a:bodyPr/>
                  <a:lstStyle/>
                  <a:p>
                    <a:r>
                      <a:rPr lang="en-US"/>
                      <a:t>7.230</a:t>
                    </a:r>
                  </a:p>
                </c:rich>
              </c:tx>
              <c:showVal val="1"/>
            </c:dLbl>
            <c:dLbl>
              <c:idx val="5"/>
              <c:tx>
                <c:rich>
                  <a:bodyPr/>
                  <a:lstStyle/>
                  <a:p>
                    <a:r>
                      <a:rPr lang="en-US"/>
                      <a:t>8.268</a:t>
                    </a:r>
                  </a:p>
                </c:rich>
              </c:tx>
              <c:showVal val="1"/>
            </c:dLbl>
            <c:spPr>
              <a:noFill/>
              <a:ln>
                <a:noFill/>
              </a:ln>
              <a:effectLst/>
            </c:spPr>
            <c:txPr>
              <a:bodyPr rot="0" spcFirstLastPara="1" vertOverflow="ellipsis" vert="horz" wrap="square" anchor="ctr" anchorCtr="1"/>
              <a:lstStyle/>
              <a:p>
                <a:pPr>
                  <a:defRPr sz="900" b="0" i="0" u="none" strike="noStrike" kern="1200" baseline="0">
                    <a:solidFill>
                      <a:schemeClr val="bg2">
                        <a:lumMod val="25000"/>
                      </a:schemeClr>
                    </a:solidFill>
                    <a:latin typeface="Cambria" panose="02040503050406030204" pitchFamily="18" charset="0"/>
                    <a:ea typeface="Cambria" panose="02040503050406030204" pitchFamily="18"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2'!$C$54:$H$54</c:f>
              <c:strCache>
                <c:ptCount val="6"/>
                <c:pt idx="0">
                  <c:v>2011.</c:v>
                </c:pt>
                <c:pt idx="1">
                  <c:v>2016.</c:v>
                </c:pt>
                <c:pt idx="2">
                  <c:v>2017.</c:v>
                </c:pt>
                <c:pt idx="3">
                  <c:v>2018.</c:v>
                </c:pt>
                <c:pt idx="4">
                  <c:v>2019.</c:v>
                </c:pt>
                <c:pt idx="5">
                  <c:v>VI 2020.</c:v>
                </c:pt>
              </c:strCache>
            </c:strRef>
          </c:cat>
          <c:val>
            <c:numRef>
              <c:f>'PG 2'!$C$55:$H$55</c:f>
              <c:numCache>
                <c:formatCode>#,##0</c:formatCode>
                <c:ptCount val="6"/>
                <c:pt idx="0">
                  <c:v>7296</c:v>
                </c:pt>
                <c:pt idx="1">
                  <c:v>11934</c:v>
                </c:pt>
                <c:pt idx="2">
                  <c:v>11732</c:v>
                </c:pt>
                <c:pt idx="3">
                  <c:v>7980</c:v>
                </c:pt>
                <c:pt idx="4">
                  <c:v>7230</c:v>
                </c:pt>
                <c:pt idx="5">
                  <c:v>8268</c:v>
                </c:pt>
              </c:numCache>
            </c:numRef>
          </c:val>
          <c:extLst xmlns:c16r2="http://schemas.microsoft.com/office/drawing/2015/06/chart">
            <c:ext xmlns:c16="http://schemas.microsoft.com/office/drawing/2014/chart" uri="{C3380CC4-5D6E-409C-BE32-E72D297353CC}">
              <c16:uniqueId val="{00000000-5E3F-423D-B613-156BA5BABE2F}"/>
            </c:ext>
          </c:extLst>
        </c:ser>
        <c:ser>
          <c:idx val="1"/>
          <c:order val="1"/>
          <c:tx>
            <c:strRef>
              <c:f>'PG 2'!$B$56</c:f>
              <c:strCache>
                <c:ptCount val="1"/>
                <c:pt idx="0">
                  <c:v>Broj nezaposlenih žena</c:v>
                </c:pt>
              </c:strCache>
            </c:strRef>
          </c:tx>
          <c:spPr>
            <a:solidFill>
              <a:schemeClr val="accent4">
                <a:lumMod val="60000"/>
                <a:lumOff val="40000"/>
              </a:schemeClr>
            </a:solidFill>
            <a:ln>
              <a:noFill/>
            </a:ln>
            <a:effectLst/>
          </c:spPr>
          <c:dLbls>
            <c:dLbl>
              <c:idx val="0"/>
              <c:tx>
                <c:rich>
                  <a:bodyPr/>
                  <a:lstStyle/>
                  <a:p>
                    <a:r>
                      <a:rPr lang="en-US"/>
                      <a:t>3.606</a:t>
                    </a:r>
                  </a:p>
                </c:rich>
              </c:tx>
              <c:showVal val="1"/>
            </c:dLbl>
            <c:dLbl>
              <c:idx val="1"/>
              <c:tx>
                <c:rich>
                  <a:bodyPr/>
                  <a:lstStyle/>
                  <a:p>
                    <a:r>
                      <a:rPr lang="en-US"/>
                      <a:t>6.622</a:t>
                    </a:r>
                  </a:p>
                </c:rich>
              </c:tx>
              <c:showVal val="1"/>
            </c:dLbl>
            <c:dLbl>
              <c:idx val="2"/>
              <c:tx>
                <c:rich>
                  <a:bodyPr/>
                  <a:lstStyle/>
                  <a:p>
                    <a:r>
                      <a:rPr lang="en-US"/>
                      <a:t>7.241</a:t>
                    </a:r>
                  </a:p>
                </c:rich>
              </c:tx>
              <c:showVal val="1"/>
            </c:dLbl>
            <c:dLbl>
              <c:idx val="3"/>
              <c:tx>
                <c:rich>
                  <a:bodyPr/>
                  <a:lstStyle/>
                  <a:p>
                    <a:r>
                      <a:rPr lang="en-US"/>
                      <a:t>4.819</a:t>
                    </a:r>
                  </a:p>
                </c:rich>
              </c:tx>
              <c:showVal val="1"/>
            </c:dLbl>
            <c:dLbl>
              <c:idx val="4"/>
              <c:tx>
                <c:rich>
                  <a:bodyPr/>
                  <a:lstStyle/>
                  <a:p>
                    <a:r>
                      <a:rPr lang="en-US"/>
                      <a:t>4.385</a:t>
                    </a:r>
                  </a:p>
                </c:rich>
              </c:tx>
              <c:showVal val="1"/>
            </c:dLbl>
            <c:dLbl>
              <c:idx val="5"/>
              <c:tx>
                <c:rich>
                  <a:bodyPr/>
                  <a:lstStyle/>
                  <a:p>
                    <a:r>
                      <a:rPr lang="en-US"/>
                      <a:t>4.966</a:t>
                    </a:r>
                  </a:p>
                </c:rich>
              </c:tx>
              <c:showVal val="1"/>
            </c:dLbl>
            <c:spPr>
              <a:noFill/>
              <a:ln>
                <a:noFill/>
              </a:ln>
              <a:effectLst/>
            </c:spPr>
            <c:txPr>
              <a:bodyPr wrap="square" lIns="38100" tIns="19050" rIns="38100" bIns="19050" anchor="ctr">
                <a:spAutoFit/>
              </a:bodyPr>
              <a:lstStyle/>
              <a:p>
                <a:pPr>
                  <a:defRPr>
                    <a:solidFill>
                      <a:schemeClr val="bg2">
                        <a:lumMod val="25000"/>
                      </a:schemeClr>
                    </a:solidFill>
                  </a:defRPr>
                </a:pPr>
                <a:endParaRPr lang="en-US"/>
              </a:p>
            </c:txPr>
            <c:showVal val="1"/>
            <c:extLst xmlns:c16r2="http://schemas.microsoft.com/office/drawing/2015/06/chart">
              <c:ext xmlns:c15="http://schemas.microsoft.com/office/drawing/2012/chart" uri="{CE6537A1-D6FC-4f65-9D91-7224C49458BB}">
                <c15:showLeaderLines val="1"/>
              </c:ext>
            </c:extLst>
          </c:dLbls>
          <c:cat>
            <c:strRef>
              <c:f>'PG 2'!$C$54:$H$54</c:f>
              <c:strCache>
                <c:ptCount val="6"/>
                <c:pt idx="0">
                  <c:v>2011.</c:v>
                </c:pt>
                <c:pt idx="1">
                  <c:v>2016.</c:v>
                </c:pt>
                <c:pt idx="2">
                  <c:v>2017.</c:v>
                </c:pt>
                <c:pt idx="3">
                  <c:v>2018.</c:v>
                </c:pt>
                <c:pt idx="4">
                  <c:v>2019.</c:v>
                </c:pt>
                <c:pt idx="5">
                  <c:v>VI 2020.</c:v>
                </c:pt>
              </c:strCache>
            </c:strRef>
          </c:cat>
          <c:val>
            <c:numRef>
              <c:f>'PG 2'!$C$56:$H$56</c:f>
              <c:numCache>
                <c:formatCode>#,##0</c:formatCode>
                <c:ptCount val="6"/>
                <c:pt idx="0">
                  <c:v>3606</c:v>
                </c:pt>
                <c:pt idx="1">
                  <c:v>6622</c:v>
                </c:pt>
                <c:pt idx="2">
                  <c:v>7241</c:v>
                </c:pt>
                <c:pt idx="3">
                  <c:v>4819</c:v>
                </c:pt>
                <c:pt idx="4">
                  <c:v>4385</c:v>
                </c:pt>
                <c:pt idx="5">
                  <c:v>4966</c:v>
                </c:pt>
              </c:numCache>
            </c:numRef>
          </c:val>
          <c:extLst xmlns:c16r2="http://schemas.microsoft.com/office/drawing/2015/06/chart">
            <c:ext xmlns:c16="http://schemas.microsoft.com/office/drawing/2014/chart" uri="{C3380CC4-5D6E-409C-BE32-E72D297353CC}">
              <c16:uniqueId val="{00000001-5E3F-423D-B613-156BA5BABE2F}"/>
            </c:ext>
          </c:extLst>
        </c:ser>
        <c:gapWidth val="219"/>
        <c:overlap val="-27"/>
        <c:axId val="101144064"/>
        <c:axId val="101145600"/>
      </c:barChart>
      <c:catAx>
        <c:axId val="101144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Arial" panose="020B0604020202020204" pitchFamily="34" charset="0"/>
              </a:defRPr>
            </a:pPr>
            <a:endParaRPr lang="en-US"/>
          </a:p>
        </c:txPr>
        <c:crossAx val="101145600"/>
        <c:crosses val="autoZero"/>
        <c:auto val="1"/>
        <c:lblAlgn val="ctr"/>
        <c:lblOffset val="100"/>
      </c:catAx>
      <c:valAx>
        <c:axId val="101145600"/>
        <c:scaling>
          <c:orientation val="minMax"/>
        </c:scaling>
        <c:delete val="1"/>
        <c:axPos val="l"/>
        <c:numFmt formatCode="#,##0" sourceLinked="1"/>
        <c:majorTickMark val="none"/>
        <c:tickLblPos val="none"/>
        <c:crossAx val="101144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Arial" panose="020B0604020202020204" pitchFamily="34" charset="0"/>
            </a:defRPr>
          </a:pPr>
          <a:endParaRPr lang="en-US"/>
        </a:p>
      </c:txPr>
    </c:legend>
    <c:plotVisOnly val="1"/>
    <c:dispBlanksAs val="gap"/>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cs typeface="Arial" panose="020B0604020202020204"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'PG 2'!$C$166</c:f>
              <c:strCache>
                <c:ptCount val="1"/>
                <c:pt idx="0">
                  <c:v>2011.</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2'!$B$167:$B$170</c:f>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f>'PG 2'!$C$167:$C$170</c:f>
              <c:numCache>
                <c:formatCode>0.0</c:formatCode>
                <c:ptCount val="4"/>
                <c:pt idx="0">
                  <c:v>29.988598227000089</c:v>
                </c:pt>
                <c:pt idx="1">
                  <c:v>41.786340613924281</c:v>
                </c:pt>
                <c:pt idx="2">
                  <c:v>23.9</c:v>
                </c:pt>
                <c:pt idx="3">
                  <c:v>21.5</c:v>
                </c:pt>
              </c:numCache>
            </c:numRef>
          </c:val>
          <c:extLst xmlns:c16r2="http://schemas.microsoft.com/office/drawing/2015/06/chart">
            <c:ext xmlns:c16="http://schemas.microsoft.com/office/drawing/2014/chart" uri="{C3380CC4-5D6E-409C-BE32-E72D297353CC}">
              <c16:uniqueId val="{00000000-7135-41C3-90A8-8F011DFE425B}"/>
            </c:ext>
          </c:extLst>
        </c:ser>
        <c:ser>
          <c:idx val="1"/>
          <c:order val="1"/>
          <c:tx>
            <c:strRef>
              <c:f>'PG 2'!$D$166</c:f>
              <c:strCache>
                <c:ptCount val="1"/>
                <c:pt idx="0">
                  <c:v>2016.</c:v>
                </c:pt>
              </c:strCache>
            </c:strRef>
          </c:tx>
          <c:spPr>
            <a:solidFill>
              <a:schemeClr val="accent4">
                <a:lumMod val="60000"/>
                <a:lumOff val="40000"/>
              </a:schemeClr>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2'!$B$167:$B$170</c:f>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f>'PG 2'!$D$167:$D$170</c:f>
              <c:numCache>
                <c:formatCode>0.0</c:formatCode>
                <c:ptCount val="4"/>
                <c:pt idx="0">
                  <c:v>31.450590441722689</c:v>
                </c:pt>
                <c:pt idx="1">
                  <c:v>45.914845295916209</c:v>
                </c:pt>
                <c:pt idx="2">
                  <c:v>24.1</c:v>
                </c:pt>
                <c:pt idx="3">
                  <c:v>23.3</c:v>
                </c:pt>
              </c:numCache>
            </c:numRef>
          </c:val>
          <c:extLst xmlns:c16r2="http://schemas.microsoft.com/office/drawing/2015/06/chart">
            <c:ext xmlns:c16="http://schemas.microsoft.com/office/drawing/2014/chart" uri="{C3380CC4-5D6E-409C-BE32-E72D297353CC}">
              <c16:uniqueId val="{00000001-7135-41C3-90A8-8F011DFE425B}"/>
            </c:ext>
          </c:extLst>
        </c:ser>
        <c:ser>
          <c:idx val="2"/>
          <c:order val="2"/>
          <c:tx>
            <c:strRef>
              <c:f>'PG 2'!$E$166</c:f>
              <c:strCache>
                <c:ptCount val="1"/>
                <c:pt idx="0">
                  <c:v>2019.</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2'!$B$167:$B$170</c:f>
              <c:strCache>
                <c:ptCount val="4"/>
                <c:pt idx="0">
                  <c:v>Učešće u ukupnom stanovništvu Crne Gore</c:v>
                </c:pt>
                <c:pt idx="1">
                  <c:v>Učešće u ukupnom broju zaposlenih u Crnoj Gori</c:v>
                </c:pt>
                <c:pt idx="2">
                  <c:v>Učešće u ukupnom broju nezaposlenih  u Crnoj Gori</c:v>
                </c:pt>
                <c:pt idx="3">
                  <c:v>Učešće u ukupnom broju korisnika MOP u Crnoj Gori</c:v>
                </c:pt>
              </c:strCache>
            </c:strRef>
          </c:cat>
          <c:val>
            <c:numRef>
              <c:f>'PG 2'!$E$167:$E$170</c:f>
              <c:numCache>
                <c:formatCode>0.0</c:formatCode>
                <c:ptCount val="4"/>
                <c:pt idx="0">
                  <c:v>30.4</c:v>
                </c:pt>
                <c:pt idx="1">
                  <c:v>46.1</c:v>
                </c:pt>
                <c:pt idx="2">
                  <c:v>17.8</c:v>
                </c:pt>
                <c:pt idx="3">
                  <c:v>18.899999999999999</c:v>
                </c:pt>
              </c:numCache>
            </c:numRef>
          </c:val>
          <c:extLst xmlns:c16r2="http://schemas.microsoft.com/office/drawing/2015/06/chart">
            <c:ext xmlns:c16="http://schemas.microsoft.com/office/drawing/2014/chart" uri="{C3380CC4-5D6E-409C-BE32-E72D297353CC}">
              <c16:uniqueId val="{00000002-7135-41C3-90A8-8F011DFE425B}"/>
            </c:ext>
          </c:extLst>
        </c:ser>
        <c:gapWidth val="219"/>
        <c:overlap val="-27"/>
        <c:axId val="101500416"/>
        <c:axId val="101501952"/>
      </c:barChart>
      <c:catAx>
        <c:axId val="101500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101501952"/>
        <c:crosses val="autoZero"/>
        <c:auto val="1"/>
        <c:lblAlgn val="ctr"/>
        <c:lblOffset val="100"/>
      </c:catAx>
      <c:valAx>
        <c:axId val="101501952"/>
        <c:scaling>
          <c:orientation val="minMax"/>
        </c:scaling>
        <c:delete val="1"/>
        <c:axPos val="l"/>
        <c:numFmt formatCode="0.0" sourceLinked="1"/>
        <c:majorTickMark val="none"/>
        <c:tickLblPos val="none"/>
        <c:crossAx val="101500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Cambria" panose="02040503050406030204" pitchFamily="18" charset="0"/>
          <a:ea typeface="Cambria" panose="02040503050406030204" pitchFamily="18" charset="0"/>
        </a:defRPr>
      </a:pPr>
      <a:endParaRPr lang="en-US"/>
    </a:p>
  </c:txPr>
  <c:externalData r:id="rId1"/>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1D0DD7-3D53-449C-9C58-B81214E3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15646</Words>
  <Characters>89187</Characters>
  <Application>Microsoft Office Word</Application>
  <DocSecurity>0</DocSecurity>
  <Lines>743</Lines>
  <Paragraphs>209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Lorencic</dc:creator>
  <cp:lastModifiedBy>vpavicevic</cp:lastModifiedBy>
  <cp:revision>3</cp:revision>
  <cp:lastPrinted>2021-05-04T09:13:00Z</cp:lastPrinted>
  <dcterms:created xsi:type="dcterms:W3CDTF">2021-05-04T09:39:00Z</dcterms:created>
  <dcterms:modified xsi:type="dcterms:W3CDTF">2021-05-25T05:54:00Z</dcterms:modified>
</cp:coreProperties>
</file>